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BA2B96" w:rsidRPr="00BA2B96" w:rsidTr="00BA2B96">
        <w:trPr>
          <w:tblCellSpacing w:w="15" w:type="dxa"/>
        </w:trPr>
        <w:tc>
          <w:tcPr>
            <w:tcW w:w="1900" w:type="pct"/>
            <w:vAlign w:val="center"/>
            <w:hideMark/>
          </w:tcPr>
          <w:p w:rsidR="00BA2B96" w:rsidRPr="00BA2B96" w:rsidRDefault="00BA2B96" w:rsidP="00BA2B96">
            <w:pPr>
              <w:spacing w:before="100" w:beforeAutospacing="1" w:after="100" w:afterAutospacing="1" w:line="240" w:lineRule="auto"/>
              <w:jc w:val="center"/>
              <w:outlineLvl w:val="2"/>
              <w:rPr>
                <w:rFonts w:ascii="Times New Roman" w:hAnsi="Times New Roman"/>
                <w:b/>
                <w:bCs/>
                <w:sz w:val="27"/>
                <w:szCs w:val="27"/>
              </w:rPr>
            </w:pPr>
            <w:r w:rsidRPr="00BA2B96">
              <w:rPr>
                <w:rFonts w:ascii="Times New Roman" w:hAnsi="Times New Roman"/>
                <w:b/>
                <w:bCs/>
                <w:color w:val="FF0000"/>
                <w:sz w:val="27"/>
                <w:szCs w:val="27"/>
              </w:rPr>
              <w:t>Publié le : 2012-03-30</w:t>
            </w:r>
          </w:p>
        </w:tc>
      </w:tr>
    </w:tbl>
    <w:p w:rsidR="00BA2B96" w:rsidRPr="00BA2B96" w:rsidRDefault="00BA2B96" w:rsidP="00BA2B96">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4470"/>
      </w:tblGrid>
      <w:tr w:rsidR="00BA2B96" w:rsidRPr="00BA2B96" w:rsidTr="00BA2B96">
        <w:trPr>
          <w:tblCellSpacing w:w="15" w:type="dxa"/>
          <w:jc w:val="center"/>
        </w:trPr>
        <w:tc>
          <w:tcPr>
            <w:tcW w:w="5000" w:type="pct"/>
            <w:vAlign w:val="center"/>
            <w:hideMark/>
          </w:tcPr>
          <w:p w:rsidR="00BA2B96" w:rsidRPr="00BA2B96" w:rsidRDefault="00BA2B96" w:rsidP="00BA2B96">
            <w:pPr>
              <w:spacing w:after="0" w:line="240" w:lineRule="auto"/>
              <w:jc w:val="center"/>
              <w:rPr>
                <w:rFonts w:ascii="Times New Roman" w:hAnsi="Times New Roman"/>
                <w:sz w:val="24"/>
                <w:szCs w:val="24"/>
              </w:rPr>
            </w:pPr>
            <w:r w:rsidRPr="00BA2B96">
              <w:rPr>
                <w:rFonts w:ascii="Times New Roman" w:hAnsi="Times New Roman"/>
                <w:sz w:val="24"/>
                <w:szCs w:val="24"/>
              </w:rPr>
              <w:t xml:space="preserve">SERVICE PUBLIC FEDERAL INTERIEUR </w:t>
            </w:r>
          </w:p>
        </w:tc>
      </w:tr>
    </w:tbl>
    <w:p w:rsidR="00BA2B96" w:rsidRPr="00BA2B96" w:rsidRDefault="00BA2B96" w:rsidP="00BA2B96">
      <w:pPr>
        <w:spacing w:before="100" w:beforeAutospacing="1" w:after="100" w:afterAutospacing="1" w:line="240" w:lineRule="auto"/>
        <w:jc w:val="center"/>
        <w:outlineLvl w:val="2"/>
        <w:rPr>
          <w:rFonts w:ascii="Times New Roman" w:hAnsi="Times New Roman"/>
          <w:b/>
          <w:bCs/>
          <w:sz w:val="27"/>
          <w:szCs w:val="27"/>
        </w:rPr>
      </w:pPr>
      <w:r w:rsidRPr="00BA2B96">
        <w:rPr>
          <w:rFonts w:ascii="Times New Roman" w:hAnsi="Times New Roman"/>
          <w:b/>
          <w:bCs/>
          <w:sz w:val="27"/>
          <w:szCs w:val="27"/>
          <w:u w:val="single"/>
        </w:rPr>
        <w:t xml:space="preserve">15 MARS 2012. - Loi modifiant la loi du 15 décembre 1980 sur l'accès au territoire, le séjour, l'établissement et l'éloignement des étrangers et la loi du 17 mai 2006 relative au statut juridique externe des personnes condamnées à une peine privative de liberté et aux droits reconnus à la victime dans le cadre des modalités d'exécution de la peine (1) </w:t>
      </w:r>
    </w:p>
    <w:p w:rsidR="005935A2" w:rsidRDefault="00BA2B96" w:rsidP="00BA2B96">
      <w:r w:rsidRPr="00BA2B96">
        <w:rPr>
          <w:rFonts w:ascii="Times New Roman" w:hAnsi="Times New Roman"/>
          <w:sz w:val="24"/>
          <w:szCs w:val="24"/>
        </w:rPr>
        <w:br/>
      </w:r>
      <w:r w:rsidRPr="00BA2B96">
        <w:rPr>
          <w:rFonts w:ascii="Times New Roman" w:hAnsi="Times New Roman"/>
          <w:sz w:val="24"/>
          <w:szCs w:val="24"/>
        </w:rPr>
        <w:br/>
        <w:t>ALBERT II, Roi des Belges</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A tous, présents et à venir, Salut.</w:t>
      </w:r>
      <w:r w:rsidRPr="00BA2B96">
        <w:rPr>
          <w:rFonts w:ascii="Times New Roman" w:hAnsi="Times New Roman"/>
          <w:sz w:val="24"/>
          <w:szCs w:val="24"/>
        </w:rPr>
        <w:br/>
        <w:t xml:space="preserve">Les Chambres ont adopté et Nous sanctionnons ce qui suit </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CHAPITRE 1</w:t>
      </w:r>
      <w:r w:rsidRPr="00BA2B96">
        <w:rPr>
          <w:rFonts w:ascii="Times New Roman" w:hAnsi="Times New Roman"/>
          <w:sz w:val="24"/>
          <w:szCs w:val="24"/>
          <w:vertAlign w:val="superscript"/>
        </w:rPr>
        <w:t>er</w:t>
      </w:r>
      <w:r w:rsidRPr="00BA2B96">
        <w:rPr>
          <w:rFonts w:ascii="Times New Roman" w:hAnsi="Times New Roman"/>
          <w:sz w:val="24"/>
          <w:szCs w:val="24"/>
        </w:rPr>
        <w:t>. - Dispositions générales</w:t>
      </w:r>
      <w:r w:rsidRPr="00BA2B96">
        <w:rPr>
          <w:rFonts w:ascii="Times New Roman" w:hAnsi="Times New Roman"/>
          <w:sz w:val="24"/>
          <w:szCs w:val="24"/>
        </w:rPr>
        <w:br/>
        <w:t>Article 1</w:t>
      </w:r>
      <w:r w:rsidRPr="00BA2B96">
        <w:rPr>
          <w:rFonts w:ascii="Times New Roman" w:hAnsi="Times New Roman"/>
          <w:sz w:val="24"/>
          <w:szCs w:val="24"/>
          <w:vertAlign w:val="superscript"/>
        </w:rPr>
        <w:t>er</w:t>
      </w:r>
      <w:r w:rsidRPr="00BA2B96">
        <w:rPr>
          <w:rFonts w:ascii="Times New Roman" w:hAnsi="Times New Roman"/>
          <w:sz w:val="24"/>
          <w:szCs w:val="24"/>
        </w:rPr>
        <w:t>. La présente loi règle une matière visée à l'article 77 de la Constitution.</w:t>
      </w:r>
      <w:r w:rsidRPr="00BA2B96">
        <w:rPr>
          <w:rFonts w:ascii="Times New Roman" w:hAnsi="Times New Roman"/>
          <w:sz w:val="24"/>
          <w:szCs w:val="24"/>
        </w:rPr>
        <w:br/>
        <w:t>CHAPITRE 2. - Modifications de la loi du 15 décembre 1980</w:t>
      </w:r>
      <w:r w:rsidRPr="00BA2B96">
        <w:rPr>
          <w:rFonts w:ascii="Times New Roman" w:hAnsi="Times New Roman"/>
          <w:sz w:val="24"/>
          <w:szCs w:val="24"/>
        </w:rPr>
        <w:br/>
        <w:t>sur l'accès au territoire, le séjour, l'établissement et l'éloignement des étrangers</w:t>
      </w:r>
      <w:r w:rsidRPr="00BA2B96">
        <w:rPr>
          <w:rFonts w:ascii="Times New Roman" w:hAnsi="Times New Roman"/>
          <w:sz w:val="24"/>
          <w:szCs w:val="24"/>
        </w:rPr>
        <w:br/>
        <w:t>Art. 2. Dans l'article 39/2, § 1</w:t>
      </w:r>
      <w:r w:rsidRPr="00BA2B96">
        <w:rPr>
          <w:rFonts w:ascii="Times New Roman" w:hAnsi="Times New Roman"/>
          <w:sz w:val="24"/>
          <w:szCs w:val="24"/>
          <w:vertAlign w:val="superscript"/>
        </w:rPr>
        <w:t>er</w:t>
      </w:r>
      <w:r w:rsidRPr="00BA2B96">
        <w:rPr>
          <w:rFonts w:ascii="Times New Roman" w:hAnsi="Times New Roman"/>
          <w:sz w:val="24"/>
          <w:szCs w:val="24"/>
        </w:rPr>
        <w:t>, alinéa 3, de la loi du 15 décembre 1980 sur l'accès au territoire, le séjour, l'établissement et l'éloignement des étrangers, inséré par la loi du 15 septembre 2006, les mots « la décision visée à l'article 57/6, alinéa 1</w:t>
      </w:r>
      <w:r w:rsidRPr="00BA2B96">
        <w:rPr>
          <w:rFonts w:ascii="Times New Roman" w:hAnsi="Times New Roman"/>
          <w:sz w:val="24"/>
          <w:szCs w:val="24"/>
          <w:vertAlign w:val="superscript"/>
        </w:rPr>
        <w:t>er</w:t>
      </w:r>
      <w:r w:rsidRPr="00BA2B96">
        <w:rPr>
          <w:rFonts w:ascii="Times New Roman" w:hAnsi="Times New Roman"/>
          <w:sz w:val="24"/>
          <w:szCs w:val="24"/>
        </w:rPr>
        <w:t>, 2° » sont remplacés par les mots « les décisions visées aux articles 57/6, alinéa 1</w:t>
      </w:r>
      <w:r w:rsidRPr="00BA2B96">
        <w:rPr>
          <w:rFonts w:ascii="Times New Roman" w:hAnsi="Times New Roman"/>
          <w:sz w:val="24"/>
          <w:szCs w:val="24"/>
          <w:vertAlign w:val="superscript"/>
        </w:rPr>
        <w:t>er</w:t>
      </w:r>
      <w:r w:rsidRPr="00BA2B96">
        <w:rPr>
          <w:rFonts w:ascii="Times New Roman" w:hAnsi="Times New Roman"/>
          <w:sz w:val="24"/>
          <w:szCs w:val="24"/>
        </w:rPr>
        <w:t>, 2° et 57/6/1 ».</w:t>
      </w:r>
      <w:r w:rsidRPr="00BA2B96">
        <w:rPr>
          <w:rFonts w:ascii="Times New Roman" w:hAnsi="Times New Roman"/>
          <w:sz w:val="24"/>
          <w:szCs w:val="24"/>
        </w:rPr>
        <w:br/>
        <w:t>Art. 3. Dans l'article 39/81, alinéa 1</w:t>
      </w:r>
      <w:r w:rsidRPr="00BA2B96">
        <w:rPr>
          <w:rFonts w:ascii="Times New Roman" w:hAnsi="Times New Roman"/>
          <w:sz w:val="24"/>
          <w:szCs w:val="24"/>
          <w:vertAlign w:val="superscript"/>
        </w:rPr>
        <w:t>er</w:t>
      </w:r>
      <w:r w:rsidRPr="00BA2B96">
        <w:rPr>
          <w:rFonts w:ascii="Times New Roman" w:hAnsi="Times New Roman"/>
          <w:sz w:val="24"/>
          <w:szCs w:val="24"/>
        </w:rPr>
        <w:t>, de la même loi, inséré par la loi du 15 septembre 2006 et modifié par les lois des 4 mai 2007, 23 décembre 2009 et 29 décembre 2010, les mots « - 39/76, § 3, alinéa 1</w:t>
      </w:r>
      <w:r w:rsidRPr="00BA2B96">
        <w:rPr>
          <w:rFonts w:ascii="Times New Roman" w:hAnsi="Times New Roman"/>
          <w:sz w:val="24"/>
          <w:szCs w:val="24"/>
          <w:vertAlign w:val="superscript"/>
        </w:rPr>
        <w:t>er</w:t>
      </w:r>
      <w:r w:rsidRPr="00BA2B96">
        <w:rPr>
          <w:rFonts w:ascii="Times New Roman" w:hAnsi="Times New Roman"/>
          <w:sz w:val="24"/>
          <w:szCs w:val="24"/>
        </w:rPr>
        <w:t>; » sont remplacés par les mots « - 39/76, § 3 alinéa 1</w:t>
      </w:r>
      <w:r w:rsidRPr="00BA2B96">
        <w:rPr>
          <w:rFonts w:ascii="Times New Roman" w:hAnsi="Times New Roman"/>
          <w:sz w:val="24"/>
          <w:szCs w:val="24"/>
          <w:vertAlign w:val="superscript"/>
        </w:rPr>
        <w:t>er</w:t>
      </w:r>
      <w:r w:rsidRPr="00BA2B96">
        <w:rPr>
          <w:rFonts w:ascii="Times New Roman" w:hAnsi="Times New Roman"/>
          <w:sz w:val="24"/>
          <w:szCs w:val="24"/>
        </w:rPr>
        <w:t>, à l'exception des recours concernant les décisions mentionnées aux articles 57/6, alinéa 1</w:t>
      </w:r>
      <w:r w:rsidRPr="00BA2B96">
        <w:rPr>
          <w:rFonts w:ascii="Times New Roman" w:hAnsi="Times New Roman"/>
          <w:sz w:val="24"/>
          <w:szCs w:val="24"/>
          <w:vertAlign w:val="superscript"/>
        </w:rPr>
        <w:t>er</w:t>
      </w:r>
      <w:r w:rsidRPr="00BA2B96">
        <w:rPr>
          <w:rFonts w:ascii="Times New Roman" w:hAnsi="Times New Roman"/>
          <w:sz w:val="24"/>
          <w:szCs w:val="24"/>
        </w:rPr>
        <w:t>, 2° et 57/6/1 qui sont traités conformément à l'article 39/76, § 3, alinéa 2; ».</w:t>
      </w:r>
      <w:r w:rsidRPr="00BA2B96">
        <w:rPr>
          <w:rFonts w:ascii="Times New Roman" w:hAnsi="Times New Roman"/>
          <w:sz w:val="24"/>
          <w:szCs w:val="24"/>
        </w:rPr>
        <w:br/>
        <w:t>CHAPITRE 3. - Modifications de la loi du 17 mai 2006 relative au statut juridique externe des personnes condamnées à une peine privative de liberté et aux droits reconnus à la victime dans le cadre des modalités d'exécution de la peine</w:t>
      </w:r>
      <w:r w:rsidRPr="00BA2B96">
        <w:rPr>
          <w:rFonts w:ascii="Times New Roman" w:hAnsi="Times New Roman"/>
          <w:sz w:val="24"/>
          <w:szCs w:val="24"/>
        </w:rPr>
        <w:br/>
        <w:t>Art. 4. Dans le Titre IV de la loi du 17 mai 2006 relative au statut juridique externe des personnes condamnées à une peine privative de liberté et aux droits reconnus à la victime dans le cadre des modalités d'exécution de la peine, il est inséré un chapitre V, comprenant l'article 20/1, rédigé comme suit :</w:t>
      </w:r>
      <w:r w:rsidRPr="00BA2B96">
        <w:rPr>
          <w:rFonts w:ascii="Times New Roman" w:hAnsi="Times New Roman"/>
          <w:sz w:val="24"/>
          <w:szCs w:val="24"/>
        </w:rPr>
        <w:br/>
        <w:t>« Chapitre V. De la libération en vue d'un éloignement ou d'un transfert vers un lieu qui relève de la compétence du Ministre compétent pour l'accès au territoire, le séjour, l'établissement et l'éloignement d'étrangers en vue de leur éloignement imminent</w:t>
      </w:r>
      <w:r w:rsidRPr="00BA2B96">
        <w:rPr>
          <w:rFonts w:ascii="Times New Roman" w:hAnsi="Times New Roman"/>
          <w:sz w:val="24"/>
          <w:szCs w:val="24"/>
        </w:rPr>
        <w:br/>
        <w:t>Art. 20/1. Le condamné qui fait l'objet d'un arrêté royal d'expulsion exécutoire, d'un arrêté ministériel de renvoi exécutoire, ou d'un ordre de quitter le territoire exécutoire avec preuve d'éloignement effectif, peut faire l'objet d'un éloignement effectif ou d'un transfert vers un lieu qui relève de la compétence du ministre compétent pour l'accès au territoire, le séjour, l'établissement et l'éloignement d'étrangers, en vue de son éloignement imminent à partir de deux mois avant la fin de la partie exécutoire de la ou des peines privatives de liberté auxquelles il a été condamné. Le ministre ou son délégué autorise sa libération à cette fin. »</w:t>
      </w:r>
      <w:r w:rsidRPr="00BA2B96">
        <w:rPr>
          <w:rFonts w:ascii="Times New Roman" w:hAnsi="Times New Roman"/>
          <w:sz w:val="24"/>
          <w:szCs w:val="24"/>
        </w:rPr>
        <w:br/>
      </w:r>
      <w:r w:rsidRPr="00BA2B96">
        <w:rPr>
          <w:rFonts w:ascii="Times New Roman" w:hAnsi="Times New Roman"/>
          <w:sz w:val="24"/>
          <w:szCs w:val="24"/>
        </w:rPr>
        <w:lastRenderedPageBreak/>
        <w:t xml:space="preserve">Art. 5. L'article 60 de la même loi, modifié par la loi du 27 décembre 2006, est complété par un alinéa rédigé comme suit </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 Les alinéas 1</w:t>
      </w:r>
      <w:r w:rsidRPr="00BA2B96">
        <w:rPr>
          <w:rFonts w:ascii="Times New Roman" w:hAnsi="Times New Roman"/>
          <w:sz w:val="24"/>
          <w:szCs w:val="24"/>
          <w:vertAlign w:val="superscript"/>
        </w:rPr>
        <w:t>er</w:t>
      </w:r>
      <w:r w:rsidRPr="00BA2B96">
        <w:rPr>
          <w:rFonts w:ascii="Times New Roman" w:hAnsi="Times New Roman"/>
          <w:sz w:val="24"/>
          <w:szCs w:val="24"/>
        </w:rPr>
        <w:t xml:space="preserve"> et 2 ne s'appliquent pas aux décisions d'octroi d'une mise en liberté provisoire en vue de l'éloignement du territoire d'un condamné qui fait l'objet d'un arrêté royal d'expulsion exécutoire, d'un arrêté ministériel de renvoi exécutoire ou d'un ordre de quitter le territoire exécutoire avec preuve d'éloignement effectif. Dans ce cas, le jugement devient exécutoire au moment de l'éloignement effectif ou du transfert vers un lieu qui relève de la compétence du Ministre compétent pour l'accès au territoire, le séjour, l'établissement et l'éloignement d'étrangers, et ce, au plus tard dix jours après que la décision d'octroi a été coulée en force de chose jugée. »</w:t>
      </w:r>
      <w:r w:rsidRPr="00BA2B96">
        <w:rPr>
          <w:rFonts w:ascii="Times New Roman" w:hAnsi="Times New Roman"/>
          <w:sz w:val="24"/>
          <w:szCs w:val="24"/>
        </w:rPr>
        <w:br/>
        <w:t xml:space="preserve">Promulguons la présente loi, ordonnons qu'elle soi revêtue du sceau de l'Etat et publiée par le Moniteur belge. </w:t>
      </w:r>
      <w:r w:rsidRPr="00BA2B96">
        <w:rPr>
          <w:rFonts w:ascii="Times New Roman" w:hAnsi="Times New Roman"/>
          <w:sz w:val="24"/>
          <w:szCs w:val="24"/>
        </w:rPr>
        <w:br/>
        <w:t>Donné à Bruxelles, le 15 mars 2012.</w:t>
      </w:r>
      <w:r w:rsidRPr="00BA2B96">
        <w:rPr>
          <w:rFonts w:ascii="Times New Roman" w:hAnsi="Times New Roman"/>
          <w:sz w:val="24"/>
          <w:szCs w:val="24"/>
        </w:rPr>
        <w:br/>
        <w:t>ALBERT</w:t>
      </w:r>
      <w:r w:rsidRPr="00BA2B96">
        <w:rPr>
          <w:rFonts w:ascii="Times New Roman" w:hAnsi="Times New Roman"/>
          <w:sz w:val="24"/>
          <w:szCs w:val="24"/>
        </w:rPr>
        <w:br/>
        <w:t xml:space="preserve">Par le Roi </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La Vice-Première Ministre et Ministre de l'Intérieur,</w:t>
      </w:r>
      <w:r w:rsidRPr="00BA2B96">
        <w:rPr>
          <w:rFonts w:ascii="Times New Roman" w:hAnsi="Times New Roman"/>
          <w:sz w:val="24"/>
          <w:szCs w:val="24"/>
        </w:rPr>
        <w:br/>
        <w:t>Mme J. MILQUET</w:t>
      </w:r>
      <w:r w:rsidRPr="00BA2B96">
        <w:rPr>
          <w:rFonts w:ascii="Times New Roman" w:hAnsi="Times New Roman"/>
          <w:sz w:val="24"/>
          <w:szCs w:val="24"/>
        </w:rPr>
        <w:br/>
        <w:t>La Ministre de la Justice,</w:t>
      </w:r>
      <w:r w:rsidRPr="00BA2B96">
        <w:rPr>
          <w:rFonts w:ascii="Times New Roman" w:hAnsi="Times New Roman"/>
          <w:sz w:val="24"/>
          <w:szCs w:val="24"/>
        </w:rPr>
        <w:br/>
        <w:t>Mme A. TURTELBOOM</w:t>
      </w:r>
      <w:r w:rsidRPr="00BA2B96">
        <w:rPr>
          <w:rFonts w:ascii="Times New Roman" w:hAnsi="Times New Roman"/>
          <w:sz w:val="24"/>
          <w:szCs w:val="24"/>
        </w:rPr>
        <w:br/>
        <w:t>La Secrétaire d'Etat à l'Asile, à l'Immigration et à l'Intégration sociale,</w:t>
      </w:r>
      <w:r w:rsidRPr="00BA2B96">
        <w:rPr>
          <w:rFonts w:ascii="Times New Roman" w:hAnsi="Times New Roman"/>
          <w:sz w:val="24"/>
          <w:szCs w:val="24"/>
        </w:rPr>
        <w:br/>
        <w:t>Mme M. De BLOCK</w:t>
      </w:r>
      <w:r w:rsidRPr="00BA2B96">
        <w:rPr>
          <w:rFonts w:ascii="Times New Roman" w:hAnsi="Times New Roman"/>
          <w:sz w:val="24"/>
          <w:szCs w:val="24"/>
        </w:rPr>
        <w:br/>
        <w:t>Scellé du sceau de l'Etat :</w:t>
      </w:r>
      <w:r w:rsidRPr="00BA2B96">
        <w:rPr>
          <w:rFonts w:ascii="Times New Roman" w:hAnsi="Times New Roman"/>
          <w:sz w:val="24"/>
          <w:szCs w:val="24"/>
        </w:rPr>
        <w:br/>
        <w:t>La Ministre de la Justice,</w:t>
      </w:r>
      <w:r w:rsidRPr="00BA2B96">
        <w:rPr>
          <w:rFonts w:ascii="Times New Roman" w:hAnsi="Times New Roman"/>
          <w:sz w:val="24"/>
          <w:szCs w:val="24"/>
        </w:rPr>
        <w:br/>
        <w:t>Mme A. TURTELBOOM</w:t>
      </w:r>
      <w:r w:rsidRPr="00BA2B96">
        <w:rPr>
          <w:rFonts w:ascii="Times New Roman" w:hAnsi="Times New Roman"/>
          <w:sz w:val="24"/>
          <w:szCs w:val="24"/>
        </w:rPr>
        <w:br/>
        <w:t>_______</w:t>
      </w:r>
      <w:r w:rsidRPr="00BA2B96">
        <w:rPr>
          <w:rFonts w:ascii="Times New Roman" w:hAnsi="Times New Roman"/>
          <w:sz w:val="24"/>
          <w:szCs w:val="24"/>
        </w:rPr>
        <w:br/>
        <w:t>Note</w:t>
      </w:r>
      <w:r w:rsidRPr="00BA2B96">
        <w:rPr>
          <w:rFonts w:ascii="Times New Roman" w:hAnsi="Times New Roman"/>
          <w:sz w:val="24"/>
          <w:szCs w:val="24"/>
        </w:rPr>
        <w:br/>
        <w:t>(1) Documents de la Chambre des représentants :</w:t>
      </w:r>
      <w:r w:rsidRPr="00BA2B96">
        <w:rPr>
          <w:rFonts w:ascii="Times New Roman" w:hAnsi="Times New Roman"/>
          <w:sz w:val="24"/>
          <w:szCs w:val="24"/>
        </w:rPr>
        <w:br/>
        <w:t xml:space="preserve">53-1913 -2011/2012 : </w:t>
      </w:r>
      <w:r w:rsidRPr="00BA2B96">
        <w:rPr>
          <w:rFonts w:ascii="Times New Roman" w:hAnsi="Times New Roman"/>
          <w:sz w:val="24"/>
          <w:szCs w:val="24"/>
        </w:rPr>
        <w:br/>
        <w:t>N° 1 : Texte adopté en séance plénière et transmis au Sénat.</w:t>
      </w:r>
      <w:r w:rsidRPr="00BA2B96">
        <w:rPr>
          <w:rFonts w:ascii="Times New Roman" w:hAnsi="Times New Roman"/>
          <w:sz w:val="24"/>
          <w:szCs w:val="24"/>
        </w:rPr>
        <w:br/>
        <w:t>Compte rendu intégral : 24 novembre 2011.</w:t>
      </w:r>
      <w:r w:rsidRPr="00BA2B96">
        <w:rPr>
          <w:rFonts w:ascii="Times New Roman" w:hAnsi="Times New Roman"/>
          <w:sz w:val="24"/>
          <w:szCs w:val="24"/>
        </w:rPr>
        <w:br/>
        <w:t xml:space="preserve">Documents du Sénat </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 xml:space="preserve">5-1364 -2011/2012 : </w:t>
      </w:r>
      <w:r w:rsidRPr="00BA2B96">
        <w:rPr>
          <w:rFonts w:ascii="Times New Roman" w:hAnsi="Times New Roman"/>
          <w:sz w:val="24"/>
          <w:szCs w:val="24"/>
        </w:rPr>
        <w:br/>
        <w:t xml:space="preserve">N° 1 : Projet transmis par la Chambre des représentants. </w:t>
      </w:r>
      <w:r w:rsidRPr="00BA2B96">
        <w:rPr>
          <w:rFonts w:ascii="Times New Roman" w:hAnsi="Times New Roman"/>
          <w:sz w:val="24"/>
          <w:szCs w:val="24"/>
        </w:rPr>
        <w:br/>
        <w:t xml:space="preserve">N° 2 : Amendements. </w:t>
      </w:r>
      <w:r w:rsidRPr="00BA2B96">
        <w:rPr>
          <w:rFonts w:ascii="Times New Roman" w:hAnsi="Times New Roman"/>
          <w:sz w:val="24"/>
          <w:szCs w:val="24"/>
        </w:rPr>
        <w:br/>
        <w:t>N° 3 : Rapport.</w:t>
      </w:r>
      <w:r w:rsidRPr="00BA2B96">
        <w:rPr>
          <w:rFonts w:ascii="Times New Roman" w:hAnsi="Times New Roman"/>
          <w:sz w:val="24"/>
          <w:szCs w:val="24"/>
        </w:rPr>
        <w:br/>
        <w:t xml:space="preserve">N° 4 : Texte adopté en séance plénière et soumis à la sanction royale. </w:t>
      </w:r>
      <w:r w:rsidRPr="00BA2B96">
        <w:rPr>
          <w:rFonts w:ascii="Times New Roman" w:hAnsi="Times New Roman"/>
          <w:sz w:val="24"/>
          <w:szCs w:val="24"/>
        </w:rPr>
        <w:br/>
        <w:t>Annales du Sénat : 16 février 2012.</w:t>
      </w:r>
      <w:r w:rsidRPr="00BA2B96">
        <w:rPr>
          <w:rFonts w:ascii="Times New Roman" w:hAnsi="Times New Roman"/>
          <w:sz w:val="24"/>
          <w:szCs w:val="24"/>
        </w:rPr>
        <w:br/>
        <w:t xml:space="preserve">Voir aussi : </w:t>
      </w:r>
      <w:r w:rsidRPr="00BA2B96">
        <w:rPr>
          <w:rFonts w:ascii="Times New Roman" w:hAnsi="Times New Roman"/>
          <w:sz w:val="24"/>
          <w:szCs w:val="24"/>
        </w:rPr>
        <w:br/>
        <w:t xml:space="preserve">Documents de la Chambre des représentants : </w:t>
      </w:r>
      <w:r w:rsidRPr="00BA2B96">
        <w:rPr>
          <w:rFonts w:ascii="Times New Roman" w:hAnsi="Times New Roman"/>
          <w:sz w:val="24"/>
          <w:szCs w:val="24"/>
        </w:rPr>
        <w:br/>
        <w:t xml:space="preserve">53-1825 -2011/2012 : </w:t>
      </w:r>
      <w:r w:rsidRPr="00BA2B96">
        <w:rPr>
          <w:rFonts w:ascii="Times New Roman" w:hAnsi="Times New Roman"/>
          <w:sz w:val="24"/>
          <w:szCs w:val="24"/>
        </w:rPr>
        <w:br/>
        <w:t xml:space="preserve">N ° 1 : Projet de loi. </w:t>
      </w:r>
      <w:r w:rsidRPr="00BA2B96">
        <w:rPr>
          <w:rFonts w:ascii="Times New Roman" w:hAnsi="Times New Roman"/>
          <w:sz w:val="24"/>
          <w:szCs w:val="24"/>
        </w:rPr>
        <w:br/>
        <w:t xml:space="preserve">N° 2 : Annexes. </w:t>
      </w:r>
      <w:r w:rsidRPr="00BA2B96">
        <w:rPr>
          <w:rFonts w:ascii="Times New Roman" w:hAnsi="Times New Roman"/>
          <w:sz w:val="24"/>
          <w:szCs w:val="24"/>
        </w:rPr>
        <w:br/>
        <w:t xml:space="preserve">N° s 3 à 5 : Amendements. </w:t>
      </w:r>
      <w:r w:rsidRPr="00BA2B96">
        <w:rPr>
          <w:rFonts w:ascii="Times New Roman" w:hAnsi="Times New Roman"/>
          <w:sz w:val="24"/>
          <w:szCs w:val="24"/>
        </w:rPr>
        <w:br/>
        <w:t>N° 6 : Rapport.</w:t>
      </w:r>
      <w:r w:rsidRPr="00BA2B96">
        <w:rPr>
          <w:rFonts w:ascii="Times New Roman" w:hAnsi="Times New Roman"/>
          <w:sz w:val="24"/>
          <w:szCs w:val="24"/>
        </w:rPr>
        <w:br/>
      </w:r>
      <w:proofErr w:type="gramStart"/>
      <w:r w:rsidRPr="00BA2B96">
        <w:rPr>
          <w:rFonts w:ascii="Times New Roman" w:hAnsi="Times New Roman"/>
          <w:sz w:val="24"/>
          <w:szCs w:val="24"/>
        </w:rPr>
        <w:lastRenderedPageBreak/>
        <w:t>n</w:t>
      </w:r>
      <w:r w:rsidRPr="00BA2B96">
        <w:rPr>
          <w:rFonts w:ascii="Times New Roman" w:hAnsi="Times New Roman"/>
          <w:sz w:val="24"/>
          <w:szCs w:val="24"/>
          <w:vertAlign w:val="superscript"/>
        </w:rPr>
        <w:t>os</w:t>
      </w:r>
      <w:proofErr w:type="gramEnd"/>
      <w:r w:rsidRPr="00BA2B96">
        <w:rPr>
          <w:rFonts w:ascii="Times New Roman" w:hAnsi="Times New Roman"/>
          <w:sz w:val="24"/>
          <w:szCs w:val="24"/>
        </w:rPr>
        <w:t xml:space="preserve"> 7 et 8 : Textes adoptés par la commission. </w:t>
      </w:r>
      <w:r w:rsidRPr="00BA2B96">
        <w:rPr>
          <w:rFonts w:ascii="Times New Roman" w:hAnsi="Times New Roman"/>
          <w:sz w:val="24"/>
          <w:szCs w:val="24"/>
        </w:rPr>
        <w:br/>
        <w:t xml:space="preserve">N° s 9 et 10 : Amendements. </w:t>
      </w:r>
      <w:r w:rsidRPr="00BA2B96">
        <w:rPr>
          <w:rFonts w:ascii="Times New Roman" w:hAnsi="Times New Roman"/>
          <w:sz w:val="24"/>
          <w:szCs w:val="24"/>
        </w:rPr>
        <w:br/>
        <w:t xml:space="preserve">N° 11 : Texte adopté en séance plénière et transmis au Sénat. </w:t>
      </w:r>
      <w:r w:rsidRPr="00BA2B96">
        <w:rPr>
          <w:rFonts w:ascii="Times New Roman" w:hAnsi="Times New Roman"/>
          <w:sz w:val="24"/>
          <w:szCs w:val="24"/>
        </w:rPr>
        <w:br/>
        <w:t xml:space="preserve">Compte rendu intégral : 24 novembre 2011. </w:t>
      </w:r>
      <w:r w:rsidRPr="00BA2B96">
        <w:rPr>
          <w:rFonts w:ascii="Times New Roman" w:hAnsi="Times New Roman"/>
          <w:sz w:val="24"/>
          <w:szCs w:val="24"/>
        </w:rPr>
        <w:br/>
        <w:t xml:space="preserve">Documents du Sénat </w:t>
      </w:r>
      <w:proofErr w:type="gramStart"/>
      <w:r w:rsidRPr="00BA2B96">
        <w:rPr>
          <w:rFonts w:ascii="Times New Roman" w:hAnsi="Times New Roman"/>
          <w:sz w:val="24"/>
          <w:szCs w:val="24"/>
        </w:rPr>
        <w:t>:</w:t>
      </w:r>
      <w:proofErr w:type="gramEnd"/>
      <w:r w:rsidRPr="00BA2B96">
        <w:rPr>
          <w:rFonts w:ascii="Times New Roman" w:hAnsi="Times New Roman"/>
          <w:sz w:val="24"/>
          <w:szCs w:val="24"/>
        </w:rPr>
        <w:br/>
        <w:t xml:space="preserve">5-1363 -11/2012 : </w:t>
      </w:r>
      <w:r w:rsidRPr="00BA2B96">
        <w:rPr>
          <w:rFonts w:ascii="Times New Roman" w:hAnsi="Times New Roman"/>
          <w:sz w:val="24"/>
          <w:szCs w:val="24"/>
        </w:rPr>
        <w:br/>
        <w:t>N° 1 : Projet non évoqué par le Sénat.</w:t>
      </w:r>
    </w:p>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A2B96"/>
    <w:rsid w:val="000A30F2"/>
    <w:rsid w:val="00484667"/>
    <w:rsid w:val="004C3D50"/>
    <w:rsid w:val="005935A2"/>
    <w:rsid w:val="00BA2B9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BA2B96"/>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BA2B96"/>
    <w:rPr>
      <w:b/>
      <w:bCs/>
      <w:sz w:val="27"/>
      <w:szCs w:val="27"/>
    </w:rPr>
  </w:style>
</w:styles>
</file>

<file path=word/webSettings.xml><?xml version="1.0" encoding="utf-8"?>
<w:webSettings xmlns:r="http://schemas.openxmlformats.org/officeDocument/2006/relationships" xmlns:w="http://schemas.openxmlformats.org/wordprocessingml/2006/main">
  <w:divs>
    <w:div w:id="11018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4392</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2</cp:revision>
  <dcterms:created xsi:type="dcterms:W3CDTF">2012-03-30T07:45:00Z</dcterms:created>
  <dcterms:modified xsi:type="dcterms:W3CDTF">2012-03-30T07:45:00Z</dcterms:modified>
</cp:coreProperties>
</file>