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A33D7B" w:rsidRPr="00A33D7B" w:rsidTr="00A33D7B">
        <w:trPr>
          <w:tblCellSpacing w:w="15" w:type="dxa"/>
        </w:trPr>
        <w:tc>
          <w:tcPr>
            <w:tcW w:w="1900" w:type="pct"/>
            <w:vAlign w:val="center"/>
            <w:hideMark/>
          </w:tcPr>
          <w:p w:rsidR="00A33D7B" w:rsidRPr="00A33D7B" w:rsidRDefault="00A33D7B" w:rsidP="00A33D7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A33D7B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2012-08-10</w:t>
            </w:r>
          </w:p>
        </w:tc>
      </w:tr>
    </w:tbl>
    <w:p w:rsidR="00A33D7B" w:rsidRPr="00A33D7B" w:rsidRDefault="00A33D7B" w:rsidP="00A33D7B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7"/>
      </w:tblGrid>
      <w:tr w:rsidR="00A33D7B" w:rsidRPr="00A33D7B" w:rsidTr="00A33D7B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A33D7B" w:rsidRPr="00A33D7B" w:rsidRDefault="00A33D7B" w:rsidP="00A33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D7B">
              <w:rPr>
                <w:rFonts w:ascii="Times New Roman" w:hAnsi="Times New Roman"/>
                <w:sz w:val="24"/>
                <w:szCs w:val="24"/>
              </w:rPr>
              <w:t xml:space="preserve">SERVICE PUBLIC FEDERAL JUSTICE </w:t>
            </w:r>
          </w:p>
        </w:tc>
      </w:tr>
    </w:tbl>
    <w:p w:rsidR="00A33D7B" w:rsidRPr="00A33D7B" w:rsidRDefault="00A33D7B" w:rsidP="00A33D7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A33D7B">
        <w:rPr>
          <w:rFonts w:ascii="Times New Roman" w:hAnsi="Times New Roman"/>
          <w:b/>
          <w:bCs/>
          <w:sz w:val="27"/>
          <w:szCs w:val="27"/>
          <w:u w:val="single"/>
        </w:rPr>
        <w:t xml:space="preserve">20 JUIN 2012. - Loi modifiant le Code civil afin de simplifier la procédure lors de l'adoption nationale ou internationale à partir d'un deuxième enfant (1) </w:t>
      </w:r>
    </w:p>
    <w:p w:rsidR="00A33D7B" w:rsidRPr="00A33D7B" w:rsidRDefault="00A33D7B" w:rsidP="00A33D7B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A33D7B">
        <w:rPr>
          <w:rFonts w:ascii="Times New Roman" w:hAnsi="Times New Roman"/>
          <w:sz w:val="24"/>
          <w:szCs w:val="24"/>
        </w:rPr>
        <w:br/>
      </w:r>
      <w:r w:rsidRPr="00A33D7B">
        <w:rPr>
          <w:rFonts w:ascii="Times New Roman" w:hAnsi="Times New Roman"/>
          <w:sz w:val="24"/>
          <w:szCs w:val="24"/>
        </w:rPr>
        <w:br/>
        <w:t>ALBERT II, Roi des Belges,</w:t>
      </w:r>
      <w:r w:rsidRPr="00A33D7B">
        <w:rPr>
          <w:rFonts w:ascii="Times New Roman" w:hAnsi="Times New Roman"/>
          <w:sz w:val="24"/>
          <w:szCs w:val="24"/>
        </w:rPr>
        <w:br/>
        <w:t>A tous, présents et à venir, Salut.</w:t>
      </w:r>
      <w:r w:rsidRPr="00A33D7B">
        <w:rPr>
          <w:rFonts w:ascii="Times New Roman" w:hAnsi="Times New Roman"/>
          <w:sz w:val="24"/>
          <w:szCs w:val="24"/>
        </w:rPr>
        <w:br/>
        <w:t>Les Chambres ont adopté et Nous sanctionnons ce qui suit :</w:t>
      </w:r>
      <w:r w:rsidRPr="00A33D7B">
        <w:rPr>
          <w:rFonts w:ascii="Times New Roman" w:hAnsi="Times New Roman"/>
          <w:sz w:val="24"/>
          <w:szCs w:val="24"/>
        </w:rPr>
        <w:br/>
        <w:t>Article 1</w:t>
      </w:r>
      <w:r w:rsidRPr="00A33D7B">
        <w:rPr>
          <w:rFonts w:ascii="Times New Roman" w:hAnsi="Times New Roman"/>
          <w:sz w:val="24"/>
          <w:szCs w:val="24"/>
          <w:vertAlign w:val="superscript"/>
        </w:rPr>
        <w:t>er</w:t>
      </w:r>
      <w:r w:rsidRPr="00A33D7B">
        <w:rPr>
          <w:rFonts w:ascii="Times New Roman" w:hAnsi="Times New Roman"/>
          <w:sz w:val="24"/>
          <w:szCs w:val="24"/>
        </w:rPr>
        <w:t>. La présente loi règle une matière visée à l'article 78 de la Constitution.</w:t>
      </w:r>
      <w:r w:rsidRPr="00A33D7B">
        <w:rPr>
          <w:rFonts w:ascii="Times New Roman" w:hAnsi="Times New Roman"/>
          <w:sz w:val="24"/>
          <w:szCs w:val="24"/>
        </w:rPr>
        <w:br/>
        <w:t>Art. 2. L'article 346-2, alinéa 1</w:t>
      </w:r>
      <w:r w:rsidRPr="00A33D7B">
        <w:rPr>
          <w:rFonts w:ascii="Times New Roman" w:hAnsi="Times New Roman"/>
          <w:sz w:val="24"/>
          <w:szCs w:val="24"/>
          <w:vertAlign w:val="superscript"/>
        </w:rPr>
        <w:t>er</w:t>
      </w:r>
      <w:r w:rsidRPr="00A33D7B">
        <w:rPr>
          <w:rFonts w:ascii="Times New Roman" w:hAnsi="Times New Roman"/>
          <w:sz w:val="24"/>
          <w:szCs w:val="24"/>
        </w:rPr>
        <w:t>, du Code civil, inséré par la loi du 24 avril 2003 et modifié par la loi du 27 décembre 2004, est complété par la phrase suivante :</w:t>
      </w:r>
      <w:r w:rsidRPr="00A33D7B">
        <w:rPr>
          <w:rFonts w:ascii="Times New Roman" w:hAnsi="Times New Roman"/>
          <w:sz w:val="24"/>
          <w:szCs w:val="24"/>
        </w:rPr>
        <w:br/>
        <w:t>« La préparation n'est pas obligatoire pour l'adoptant ou les adoptants qui l'ont déjà suivie lors d'une adoption antérieure, et dont l'aptitude à adopter à été reconnue par le tribunal de la jeunesse. ».</w:t>
      </w:r>
      <w:r w:rsidRPr="00A33D7B">
        <w:rPr>
          <w:rFonts w:ascii="Times New Roman" w:hAnsi="Times New Roman"/>
          <w:sz w:val="24"/>
          <w:szCs w:val="24"/>
        </w:rPr>
        <w:br/>
        <w:t>Art. 3. L'article 361-1, alinéa 2, du même Code, inséré par la loi du 24 avril 2003, est complété par la phrase suivante :</w:t>
      </w:r>
      <w:r w:rsidRPr="00A33D7B">
        <w:rPr>
          <w:rFonts w:ascii="Times New Roman" w:hAnsi="Times New Roman"/>
          <w:sz w:val="24"/>
          <w:szCs w:val="24"/>
        </w:rPr>
        <w:br/>
        <w:t>« La préparation n'est pas obligatoire pour l'adoptant ou les adoptants qui l'ont déjà suivie lors d'une adoption antérieure, et dont l'aptitude à adopter à été reconnue par le tribunal de la jeunesse. ».</w:t>
      </w:r>
      <w:r w:rsidRPr="00A33D7B">
        <w:rPr>
          <w:rFonts w:ascii="Times New Roman" w:hAnsi="Times New Roman"/>
          <w:sz w:val="24"/>
          <w:szCs w:val="24"/>
        </w:rPr>
        <w:br/>
        <w:t xml:space="preserve">Promulguons la présente loi, ordonnons qu'elle soi revêtue du sceau de l'Etat et publiée par le Moniteur belge. </w:t>
      </w:r>
      <w:r w:rsidRPr="00A33D7B">
        <w:rPr>
          <w:rFonts w:ascii="Times New Roman" w:hAnsi="Times New Roman"/>
          <w:sz w:val="24"/>
          <w:szCs w:val="24"/>
        </w:rPr>
        <w:br/>
        <w:t>Donné à Bruxelles, le 20 juin 2012.</w:t>
      </w:r>
      <w:r w:rsidRPr="00A33D7B">
        <w:rPr>
          <w:rFonts w:ascii="Times New Roman" w:hAnsi="Times New Roman"/>
          <w:sz w:val="24"/>
          <w:szCs w:val="24"/>
        </w:rPr>
        <w:br/>
        <w:t>ALBERT</w:t>
      </w:r>
      <w:r w:rsidRPr="00A33D7B">
        <w:rPr>
          <w:rFonts w:ascii="Times New Roman" w:hAnsi="Times New Roman"/>
          <w:sz w:val="24"/>
          <w:szCs w:val="24"/>
        </w:rPr>
        <w:br/>
        <w:t>Par le Roi :</w:t>
      </w:r>
      <w:r w:rsidRPr="00A33D7B">
        <w:rPr>
          <w:rFonts w:ascii="Times New Roman" w:hAnsi="Times New Roman"/>
          <w:sz w:val="24"/>
          <w:szCs w:val="24"/>
        </w:rPr>
        <w:br/>
        <w:t>La Ministre de la Justice,</w:t>
      </w:r>
      <w:r w:rsidRPr="00A33D7B">
        <w:rPr>
          <w:rFonts w:ascii="Times New Roman" w:hAnsi="Times New Roman"/>
          <w:sz w:val="24"/>
          <w:szCs w:val="24"/>
        </w:rPr>
        <w:br/>
        <w:t>Mme A. TURTELBOOM</w:t>
      </w:r>
      <w:r w:rsidRPr="00A33D7B">
        <w:rPr>
          <w:rFonts w:ascii="Times New Roman" w:hAnsi="Times New Roman"/>
          <w:sz w:val="24"/>
          <w:szCs w:val="24"/>
        </w:rPr>
        <w:br/>
        <w:t>Scellé du sceau de l'Etat :</w:t>
      </w:r>
      <w:r w:rsidRPr="00A33D7B">
        <w:rPr>
          <w:rFonts w:ascii="Times New Roman" w:hAnsi="Times New Roman"/>
          <w:sz w:val="24"/>
          <w:szCs w:val="24"/>
        </w:rPr>
        <w:br/>
        <w:t>La Ministre de la Justice,</w:t>
      </w:r>
      <w:r w:rsidRPr="00A33D7B">
        <w:rPr>
          <w:rFonts w:ascii="Times New Roman" w:hAnsi="Times New Roman"/>
          <w:sz w:val="24"/>
          <w:szCs w:val="24"/>
        </w:rPr>
        <w:br/>
        <w:t>Mme A. TURTELBOOM</w:t>
      </w:r>
      <w:r w:rsidRPr="00A33D7B">
        <w:rPr>
          <w:rFonts w:ascii="Times New Roman" w:hAnsi="Times New Roman"/>
          <w:sz w:val="24"/>
          <w:szCs w:val="24"/>
        </w:rPr>
        <w:br/>
        <w:t>_______</w:t>
      </w:r>
      <w:r w:rsidRPr="00A33D7B">
        <w:rPr>
          <w:rFonts w:ascii="Times New Roman" w:hAnsi="Times New Roman"/>
          <w:sz w:val="24"/>
          <w:szCs w:val="24"/>
        </w:rPr>
        <w:br/>
        <w:t>Notes</w:t>
      </w:r>
      <w:r w:rsidRPr="00A33D7B">
        <w:rPr>
          <w:rFonts w:ascii="Times New Roman" w:hAnsi="Times New Roman"/>
          <w:sz w:val="24"/>
          <w:szCs w:val="24"/>
        </w:rPr>
        <w:br/>
        <w:t>(1) Session 2010-2011.</w:t>
      </w:r>
      <w:r w:rsidRPr="00A33D7B">
        <w:rPr>
          <w:rFonts w:ascii="Times New Roman" w:hAnsi="Times New Roman"/>
          <w:sz w:val="24"/>
          <w:szCs w:val="24"/>
        </w:rPr>
        <w:br/>
        <w:t>Sénat</w:t>
      </w:r>
      <w:r w:rsidRPr="00A33D7B">
        <w:rPr>
          <w:rFonts w:ascii="Times New Roman" w:hAnsi="Times New Roman"/>
          <w:sz w:val="24"/>
          <w:szCs w:val="24"/>
        </w:rPr>
        <w:br/>
        <w:t>Documents. - Proposition de loi de M. Philippe Mahoux et Mme Christine Defraigne, n° 5-1238/1.</w:t>
      </w:r>
      <w:r w:rsidRPr="00A33D7B">
        <w:rPr>
          <w:rFonts w:ascii="Times New Roman" w:hAnsi="Times New Roman"/>
          <w:sz w:val="24"/>
          <w:szCs w:val="24"/>
        </w:rPr>
        <w:br/>
        <w:t>Session 2011-2012</w:t>
      </w:r>
      <w:r w:rsidRPr="00A33D7B">
        <w:rPr>
          <w:rFonts w:ascii="Times New Roman" w:hAnsi="Times New Roman"/>
          <w:sz w:val="24"/>
          <w:szCs w:val="24"/>
        </w:rPr>
        <w:br/>
        <w:t>Sénat</w:t>
      </w:r>
      <w:r w:rsidRPr="00A33D7B">
        <w:rPr>
          <w:rFonts w:ascii="Times New Roman" w:hAnsi="Times New Roman"/>
          <w:sz w:val="24"/>
          <w:szCs w:val="24"/>
        </w:rPr>
        <w:br/>
        <w:t>Documents. - Rapport n° 5-1238/2 - Texte adopté en séance plénière et transmis à la Chambre des représentants, n° 5-1238/3.</w:t>
      </w:r>
      <w:r w:rsidRPr="00A33D7B">
        <w:rPr>
          <w:rFonts w:ascii="Times New Roman" w:hAnsi="Times New Roman"/>
          <w:sz w:val="24"/>
          <w:szCs w:val="24"/>
        </w:rPr>
        <w:br/>
        <w:t>Chambre des représentants</w:t>
      </w:r>
      <w:r w:rsidRPr="00A33D7B">
        <w:rPr>
          <w:rFonts w:ascii="Times New Roman" w:hAnsi="Times New Roman"/>
          <w:sz w:val="24"/>
          <w:szCs w:val="24"/>
        </w:rPr>
        <w:br/>
        <w:t>Documents - Projet transmis par le Sénat, n° 53-2175/1 - Amendements, n° 53-2175/2 - Rapport, n° 53-2175/3 - Texte adopté par la commission, n° 53-2175/4 - Texte amendé par la Chambre des représentants et renvoyé au Sénat, n° 53-2175/5.</w:t>
      </w:r>
      <w:r w:rsidRPr="00A33D7B">
        <w:rPr>
          <w:rFonts w:ascii="Times New Roman" w:hAnsi="Times New Roman"/>
          <w:sz w:val="24"/>
          <w:szCs w:val="24"/>
        </w:rPr>
        <w:br/>
        <w:t>Sénat</w:t>
      </w:r>
      <w:r w:rsidRPr="00A33D7B">
        <w:rPr>
          <w:rFonts w:ascii="Times New Roman" w:hAnsi="Times New Roman"/>
          <w:sz w:val="24"/>
          <w:szCs w:val="24"/>
        </w:rPr>
        <w:br/>
        <w:t xml:space="preserve">Documents - Projet amendé par la Chambre des représentants et renvoyé au Sénat, n° 5-1238/4 - Rapport, n° 5-1238/5 - Décision de se rallier au projet amendé par la Chambre des </w:t>
      </w:r>
      <w:r w:rsidRPr="00A33D7B">
        <w:rPr>
          <w:rFonts w:ascii="Times New Roman" w:hAnsi="Times New Roman"/>
          <w:sz w:val="24"/>
          <w:szCs w:val="24"/>
        </w:rPr>
        <w:lastRenderedPageBreak/>
        <w:t>représentants, n° 5-1238/6.</w:t>
      </w:r>
      <w:r w:rsidRPr="00A33D7B">
        <w:rPr>
          <w:rFonts w:ascii="Times New Roman" w:hAnsi="Times New Roman"/>
          <w:sz w:val="24"/>
          <w:szCs w:val="24"/>
        </w:rPr>
        <w:br/>
        <w:t>Voir aussi :</w:t>
      </w:r>
      <w:r w:rsidRPr="00A33D7B">
        <w:rPr>
          <w:rFonts w:ascii="Times New Roman" w:hAnsi="Times New Roman"/>
          <w:sz w:val="24"/>
          <w:szCs w:val="24"/>
        </w:rPr>
        <w:br/>
        <w:t>Sénat</w:t>
      </w:r>
      <w:r w:rsidRPr="00A33D7B">
        <w:rPr>
          <w:rFonts w:ascii="Times New Roman" w:hAnsi="Times New Roman"/>
          <w:sz w:val="24"/>
          <w:szCs w:val="24"/>
        </w:rPr>
        <w:br/>
        <w:t>Discussion et vote sur l'ensemble : 3 mai 2012, Annales 5-58.</w:t>
      </w:r>
      <w:r w:rsidRPr="00A33D7B">
        <w:rPr>
          <w:rFonts w:ascii="Times New Roman" w:hAnsi="Times New Roman"/>
          <w:sz w:val="24"/>
          <w:szCs w:val="24"/>
        </w:rPr>
        <w:br/>
        <w:t>Chambre des représentants</w:t>
      </w:r>
      <w:r w:rsidRPr="00A33D7B">
        <w:rPr>
          <w:rFonts w:ascii="Times New Roman" w:hAnsi="Times New Roman"/>
          <w:sz w:val="24"/>
          <w:szCs w:val="24"/>
        </w:rPr>
        <w:br/>
        <w:t>Discussion et vote sur l'ensemble : 31 mai 2012, Compte rendu intégral n° 89.</w:t>
      </w:r>
      <w:r w:rsidRPr="00A33D7B">
        <w:rPr>
          <w:rFonts w:ascii="Times New Roman" w:hAnsi="Times New Roman"/>
          <w:sz w:val="24"/>
          <w:szCs w:val="24"/>
        </w:rPr>
        <w:br/>
        <w:t>Sénat</w:t>
      </w:r>
      <w:r w:rsidRPr="00A33D7B">
        <w:rPr>
          <w:rFonts w:ascii="Times New Roman" w:hAnsi="Times New Roman"/>
          <w:sz w:val="24"/>
          <w:szCs w:val="24"/>
        </w:rPr>
        <w:br/>
        <w:t xml:space="preserve">Discussion générale et vote sur l'ensemble : 7 juin 2012, Annales 5-62. </w:t>
      </w:r>
      <w:r w:rsidRPr="00A33D7B">
        <w:rPr>
          <w:rFonts w:ascii="Times New Roman" w:hAnsi="Times New Roman"/>
          <w:sz w:val="24"/>
          <w:szCs w:val="24"/>
        </w:rPr>
        <w:br/>
      </w:r>
      <w:bookmarkStart w:id="0" w:name="end"/>
      <w:bookmarkStart w:id="1" w:name="hit1"/>
      <w:bookmarkEnd w:id="0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3828"/>
        <w:gridCol w:w="3481"/>
      </w:tblGrid>
      <w:tr w:rsidR="00A33D7B" w:rsidRPr="00A33D7B" w:rsidTr="00A33D7B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A33D7B" w:rsidRPr="00A33D7B" w:rsidRDefault="008618FC" w:rsidP="00A33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anchor="top" w:tgtFrame="_self" w:history="1">
              <w:r w:rsidR="00A33D7B" w:rsidRPr="00A33D7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debut</w:t>
              </w:r>
            </w:hyperlink>
          </w:p>
        </w:tc>
        <w:tc>
          <w:tcPr>
            <w:tcW w:w="2100" w:type="pct"/>
            <w:vAlign w:val="center"/>
            <w:hideMark/>
          </w:tcPr>
          <w:p w:rsidR="00A33D7B" w:rsidRPr="00A33D7B" w:rsidRDefault="00A33D7B" w:rsidP="00A33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A33D7B" w:rsidRPr="00A33D7B" w:rsidRDefault="00A33D7B" w:rsidP="00A33D7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A33D7B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2012-08-10</w:t>
            </w:r>
          </w:p>
        </w:tc>
      </w:tr>
    </w:tbl>
    <w:p w:rsidR="005935A2" w:rsidRDefault="005935A2"/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A33D7B"/>
    <w:rsid w:val="000A30F2"/>
    <w:rsid w:val="00131326"/>
    <w:rsid w:val="003663D8"/>
    <w:rsid w:val="004C3D50"/>
    <w:rsid w:val="005935A2"/>
    <w:rsid w:val="008618FC"/>
    <w:rsid w:val="00A3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A33D7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33D7B"/>
    <w:rPr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A33D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justice.just.fgov.be/cgi/article_body.pl?language=fr&amp;caller=summary&amp;pub_date=2012-08-10&amp;numac=201200932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2</cp:revision>
  <dcterms:created xsi:type="dcterms:W3CDTF">2012-08-20T11:40:00Z</dcterms:created>
  <dcterms:modified xsi:type="dcterms:W3CDTF">2012-08-20T11:40:00Z</dcterms:modified>
</cp:coreProperties>
</file>