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266CF" w:rsidRPr="00072B2C" w:rsidRDefault="006451E0" w:rsidP="006451E0">
      <w:pPr>
        <w:pBdr>
          <w:top w:val="single" w:sz="4" w:space="1" w:color="auto"/>
          <w:left w:val="single" w:sz="4" w:space="4" w:color="auto"/>
          <w:bottom w:val="single" w:sz="4" w:space="1" w:color="auto"/>
          <w:right w:val="single" w:sz="4" w:space="4" w:color="auto"/>
        </w:pBdr>
        <w:jc w:val="center"/>
        <w:rPr>
          <w:b/>
        </w:rPr>
      </w:pPr>
      <w:r w:rsidRPr="00072B2C">
        <w:rPr>
          <w:b/>
        </w:rPr>
        <w:t xml:space="preserve">La réforme de la procédure d’asile – </w:t>
      </w:r>
      <w:r w:rsidR="00162A89" w:rsidRPr="00072B2C">
        <w:rPr>
          <w:b/>
        </w:rPr>
        <w:t>S</w:t>
      </w:r>
      <w:r w:rsidRPr="00072B2C">
        <w:rPr>
          <w:b/>
        </w:rPr>
        <w:t>eptembre 2013</w:t>
      </w:r>
    </w:p>
    <w:p w:rsidR="006451E0" w:rsidRPr="00072B2C" w:rsidRDefault="00966F2F" w:rsidP="007D7783">
      <w:r w:rsidRPr="00072B2C">
        <w:t xml:space="preserve">La réglementation belge en matière d’asile vient d’être réformée. Cette réforme concerne différents aspects de la qualification et de la procédure tant administrative qu’au niveau juridictionnel. </w:t>
      </w:r>
    </w:p>
    <w:p w:rsidR="00B709E5" w:rsidRPr="00072B2C" w:rsidRDefault="00966F2F" w:rsidP="007D7783">
      <w:pPr>
        <w:autoSpaceDE w:val="0"/>
        <w:autoSpaceDN w:val="0"/>
        <w:adjustRightInd w:val="0"/>
        <w:spacing w:after="0"/>
        <w:rPr>
          <w:rFonts w:cs="HelveticaLTStd-Roman"/>
        </w:rPr>
      </w:pPr>
      <w:r w:rsidRPr="00072B2C">
        <w:t>A suivre</w:t>
      </w:r>
      <w:r w:rsidR="00B709E5" w:rsidRPr="00072B2C">
        <w:t xml:space="preserve"> les travaux préparatoires,  </w:t>
      </w:r>
      <w:r w:rsidRPr="00072B2C">
        <w:t xml:space="preserve">cette réforme recouvre plusieurs objectifs qui sont </w:t>
      </w:r>
      <w:r w:rsidR="00B709E5" w:rsidRPr="00072B2C">
        <w:t xml:space="preserve">principalement </w:t>
      </w:r>
      <w:r w:rsidR="00B709E5" w:rsidRPr="00072B2C">
        <w:rPr>
          <w:rFonts w:cs="HelveticaLTStd-Roman"/>
        </w:rPr>
        <w:t>la transposition partielle de la Directive qualification (refonte)</w:t>
      </w:r>
      <w:r w:rsidR="00B709E5" w:rsidRPr="00072B2C">
        <w:rPr>
          <w:rStyle w:val="Appelnotedebasdep"/>
          <w:rFonts w:cs="HelveticaLTStd-Roman"/>
        </w:rPr>
        <w:footnoteReference w:id="1"/>
      </w:r>
      <w:r w:rsidR="00B709E5" w:rsidRPr="00072B2C">
        <w:rPr>
          <w:rFonts w:cs="HelveticaLTStd-Roman"/>
        </w:rPr>
        <w:t xml:space="preserve"> et « </w:t>
      </w:r>
      <w:r w:rsidR="00B709E5" w:rsidRPr="00072B2C">
        <w:rPr>
          <w:rFonts w:cs="HelveticaLTStd-Roman"/>
          <w:i/>
        </w:rPr>
        <w:t>une adaptation de la procédure d’asile conformément à la déclaration de politique générale du gouvernement, et ce afin d’accroître l’effectivité (qualité) et l’efficacité de cette procédure et de prévenir encore davantage l’utilisation abusive de celle-ci, tout en préservant le droit à l’asile, en particulier pour les personnes ayant besoin d’une protection </w:t>
      </w:r>
      <w:r w:rsidR="00B709E5" w:rsidRPr="00072B2C">
        <w:rPr>
          <w:rFonts w:cs="HelveticaLTStd-Roman"/>
        </w:rPr>
        <w:t>»</w:t>
      </w:r>
      <w:r w:rsidR="00B709E5" w:rsidRPr="00072B2C">
        <w:rPr>
          <w:rStyle w:val="Appelnotedebasdep"/>
          <w:rFonts w:cs="HelveticaLTStd-Roman"/>
        </w:rPr>
        <w:footnoteReference w:id="2"/>
      </w:r>
      <w:r w:rsidR="00B709E5" w:rsidRPr="00072B2C">
        <w:rPr>
          <w:rFonts w:cs="HelveticaLTStd-Roman"/>
        </w:rPr>
        <w:t>.</w:t>
      </w:r>
      <w:r w:rsidRPr="00072B2C">
        <w:rPr>
          <w:rFonts w:cs="HelveticaLTStd-Roman"/>
        </w:rPr>
        <w:t xml:space="preserve"> La lutte contre les abus est, de nos jours, le leitmotiv de la plupart des réformes en matière de droit des étrangers, qui procèdent ainsi à une stigmatisation hasardeuse des migrants, on ne s’étendra pas davantage là-dessus ici.</w:t>
      </w:r>
    </w:p>
    <w:p w:rsidR="00966F2F" w:rsidRPr="00072B2C" w:rsidRDefault="00966F2F" w:rsidP="00B709E5">
      <w:pPr>
        <w:autoSpaceDE w:val="0"/>
        <w:autoSpaceDN w:val="0"/>
        <w:adjustRightInd w:val="0"/>
        <w:spacing w:after="0" w:line="240" w:lineRule="auto"/>
        <w:rPr>
          <w:rFonts w:cs="HelveticaLTStd-Roman"/>
        </w:rPr>
      </w:pPr>
    </w:p>
    <w:p w:rsidR="00966F2F" w:rsidRPr="00072B2C" w:rsidRDefault="00966F2F" w:rsidP="00966F2F">
      <w:r w:rsidRPr="00072B2C">
        <w:lastRenderedPageBreak/>
        <w:t>Dans les lignes qui suivent, nous proposons un descriptif des modifications apportées récemment à la matière de l’asile.  Ces changements</w:t>
      </w:r>
      <w:r w:rsidR="00CD1F32" w:rsidRPr="00072B2C">
        <w:t>,</w:t>
      </w:r>
      <w:r w:rsidRPr="00072B2C">
        <w:t xml:space="preserve"> essentiellement en vigueur au 1</w:t>
      </w:r>
      <w:r w:rsidRPr="00072B2C">
        <w:rPr>
          <w:vertAlign w:val="superscript"/>
        </w:rPr>
        <w:t>er</w:t>
      </w:r>
      <w:r w:rsidRPr="00072B2C">
        <w:t xml:space="preserve"> septembre 2013, résultent des textes suivants : </w:t>
      </w:r>
    </w:p>
    <w:p w:rsidR="00966F2F" w:rsidRPr="00072B2C" w:rsidRDefault="00966F2F" w:rsidP="00B709E5">
      <w:pPr>
        <w:autoSpaceDE w:val="0"/>
        <w:autoSpaceDN w:val="0"/>
        <w:adjustRightInd w:val="0"/>
        <w:spacing w:after="0" w:line="240" w:lineRule="auto"/>
        <w:rPr>
          <w:rFonts w:cs="HelveticaLTStd-Roman"/>
        </w:rPr>
      </w:pPr>
    </w:p>
    <w:p w:rsidR="006451E0" w:rsidRPr="00072B2C" w:rsidRDefault="006451E0" w:rsidP="00CD1F32">
      <w:pPr>
        <w:pStyle w:val="Paragraphedeliste"/>
        <w:numPr>
          <w:ilvl w:val="0"/>
          <w:numId w:val="8"/>
        </w:numPr>
        <w:rPr>
          <w:rFonts w:asciiTheme="minorHAnsi" w:hAnsiTheme="minorHAnsi"/>
          <w:sz w:val="22"/>
          <w:szCs w:val="22"/>
        </w:rPr>
      </w:pPr>
      <w:r w:rsidRPr="00072B2C">
        <w:rPr>
          <w:rFonts w:asciiTheme="minorHAnsi" w:eastAsia="+mn-ea" w:hAnsiTheme="minorHAnsi"/>
          <w:sz w:val="22"/>
          <w:szCs w:val="22"/>
        </w:rPr>
        <w:t>Loi du 8 mai 2013 modifiant loi 15/12/1980, MB 22 août 2013</w:t>
      </w:r>
    </w:p>
    <w:p w:rsidR="006451E0" w:rsidRPr="00072B2C" w:rsidRDefault="006451E0" w:rsidP="00CD1F32">
      <w:pPr>
        <w:pStyle w:val="Paragraphedeliste"/>
        <w:numPr>
          <w:ilvl w:val="0"/>
          <w:numId w:val="8"/>
        </w:numPr>
        <w:rPr>
          <w:rFonts w:asciiTheme="minorHAnsi" w:hAnsiTheme="minorHAnsi"/>
          <w:sz w:val="22"/>
          <w:szCs w:val="22"/>
        </w:rPr>
      </w:pPr>
      <w:r w:rsidRPr="00072B2C">
        <w:rPr>
          <w:rFonts w:asciiTheme="minorHAnsi" w:eastAsia="+mn-ea" w:hAnsiTheme="minorHAnsi"/>
          <w:sz w:val="22"/>
          <w:szCs w:val="22"/>
        </w:rPr>
        <w:t>AR 17 août 2013 modifiant AR OE, MB 22 août 2013</w:t>
      </w:r>
    </w:p>
    <w:p w:rsidR="00CD1F32" w:rsidRPr="00072B2C" w:rsidRDefault="006451E0" w:rsidP="00CD1F32">
      <w:pPr>
        <w:pStyle w:val="Paragraphedeliste"/>
        <w:numPr>
          <w:ilvl w:val="0"/>
          <w:numId w:val="8"/>
        </w:numPr>
        <w:rPr>
          <w:rFonts w:asciiTheme="minorHAnsi" w:hAnsiTheme="minorHAnsi"/>
          <w:b/>
          <w:sz w:val="22"/>
          <w:szCs w:val="22"/>
        </w:rPr>
      </w:pPr>
      <w:r w:rsidRPr="00072B2C">
        <w:rPr>
          <w:rFonts w:asciiTheme="minorHAnsi" w:eastAsia="+mn-ea" w:hAnsiTheme="minorHAnsi"/>
          <w:sz w:val="22"/>
          <w:szCs w:val="22"/>
        </w:rPr>
        <w:t>AR 17 août 2013 modifiant AR CGRA, MB 22 août 2013</w:t>
      </w:r>
    </w:p>
    <w:p w:rsidR="00CD1F32" w:rsidRPr="00072B2C" w:rsidRDefault="006E6EDD" w:rsidP="00CD1F32">
      <w:pPr>
        <w:pStyle w:val="Paragraphedeliste"/>
        <w:numPr>
          <w:ilvl w:val="0"/>
          <w:numId w:val="8"/>
        </w:numPr>
        <w:rPr>
          <w:rFonts w:asciiTheme="minorHAnsi" w:hAnsiTheme="minorHAnsi"/>
          <w:b/>
          <w:sz w:val="22"/>
          <w:szCs w:val="22"/>
        </w:rPr>
      </w:pPr>
      <w:r w:rsidRPr="00072B2C">
        <w:rPr>
          <w:rFonts w:asciiTheme="minorHAnsi" w:eastAsia="+mn-ea" w:hAnsiTheme="minorHAnsi"/>
          <w:sz w:val="22"/>
          <w:szCs w:val="22"/>
        </w:rPr>
        <w:t>L</w:t>
      </w:r>
      <w:r w:rsidR="006451E0" w:rsidRPr="00072B2C">
        <w:rPr>
          <w:rFonts w:asciiTheme="minorHAnsi" w:eastAsia="+mn-ea" w:hAnsiTheme="minorHAnsi"/>
          <w:sz w:val="22"/>
          <w:szCs w:val="22"/>
        </w:rPr>
        <w:t>oi du 8 mai 2013 portant dispositions diverses, MB 22 août 2013</w:t>
      </w:r>
      <w:r w:rsidR="00CD1F32" w:rsidRPr="00072B2C">
        <w:rPr>
          <w:rStyle w:val="Appelnotedebasdep"/>
          <w:rFonts w:asciiTheme="minorHAnsi" w:eastAsia="+mn-ea" w:hAnsiTheme="minorHAnsi"/>
          <w:sz w:val="22"/>
          <w:szCs w:val="22"/>
        </w:rPr>
        <w:footnoteReference w:id="3"/>
      </w:r>
      <w:r w:rsidR="006451E0" w:rsidRPr="00072B2C">
        <w:rPr>
          <w:rFonts w:asciiTheme="minorHAnsi" w:eastAsia="+mn-ea" w:hAnsiTheme="minorHAnsi"/>
          <w:sz w:val="22"/>
          <w:szCs w:val="22"/>
        </w:rPr>
        <w:t xml:space="preserve">. </w:t>
      </w:r>
      <w:r w:rsidRPr="00072B2C">
        <w:rPr>
          <w:rFonts w:asciiTheme="minorHAnsi" w:eastAsia="+mn-ea" w:hAnsiTheme="minorHAnsi"/>
          <w:sz w:val="22"/>
          <w:szCs w:val="22"/>
        </w:rPr>
        <w:t>Cette loi concerne les modifications apportées au contentieux de l’asile.</w:t>
      </w:r>
    </w:p>
    <w:p w:rsidR="00CD1F32" w:rsidRPr="00072B2C" w:rsidRDefault="00CD1F32" w:rsidP="00CD1F32">
      <w:pPr>
        <w:rPr>
          <w:rFonts w:eastAsia="Times New Roman" w:cs="Times New Roman"/>
          <w:b/>
        </w:rPr>
      </w:pPr>
    </w:p>
    <w:p w:rsidR="000F68CB" w:rsidRPr="00072B2C" w:rsidRDefault="0092374F" w:rsidP="000F68CB">
      <w:pPr>
        <w:pStyle w:val="Paragraphedeliste"/>
        <w:numPr>
          <w:ilvl w:val="0"/>
          <w:numId w:val="2"/>
        </w:numPr>
        <w:rPr>
          <w:rFonts w:asciiTheme="minorHAnsi" w:hAnsiTheme="minorHAnsi"/>
          <w:b/>
          <w:sz w:val="22"/>
          <w:szCs w:val="22"/>
        </w:rPr>
      </w:pPr>
      <w:r w:rsidRPr="00072B2C">
        <w:rPr>
          <w:rFonts w:asciiTheme="minorHAnsi" w:hAnsiTheme="minorHAnsi"/>
          <w:b/>
          <w:sz w:val="22"/>
          <w:szCs w:val="22"/>
        </w:rPr>
        <w:t>Modifications liées à la transposition de la directive qualification</w:t>
      </w:r>
      <w:r w:rsidR="000F68CB" w:rsidRPr="00072B2C">
        <w:rPr>
          <w:rFonts w:asciiTheme="minorHAnsi" w:hAnsiTheme="minorHAnsi"/>
          <w:b/>
          <w:sz w:val="22"/>
          <w:szCs w:val="22"/>
        </w:rPr>
        <w:t xml:space="preserve"> </w:t>
      </w:r>
    </w:p>
    <w:p w:rsidR="00557821" w:rsidRPr="00072B2C" w:rsidRDefault="00557821" w:rsidP="00557821">
      <w:pPr>
        <w:pStyle w:val="Paragraphedeliste"/>
        <w:rPr>
          <w:rFonts w:asciiTheme="minorHAnsi" w:hAnsiTheme="minorHAnsi"/>
          <w:b/>
          <w:sz w:val="22"/>
          <w:szCs w:val="22"/>
        </w:rPr>
      </w:pPr>
    </w:p>
    <w:p w:rsidR="0092374F" w:rsidRPr="00072B2C" w:rsidRDefault="0092374F" w:rsidP="0092374F">
      <w:pPr>
        <w:pStyle w:val="Paragraphedeliste"/>
        <w:numPr>
          <w:ilvl w:val="0"/>
          <w:numId w:val="9"/>
        </w:numPr>
        <w:rPr>
          <w:rFonts w:asciiTheme="minorHAnsi" w:hAnsiTheme="minorHAnsi"/>
          <w:sz w:val="22"/>
          <w:szCs w:val="22"/>
        </w:rPr>
      </w:pPr>
      <w:r w:rsidRPr="00072B2C">
        <w:rPr>
          <w:rFonts w:asciiTheme="minorHAnsi" w:hAnsiTheme="minorHAnsi"/>
          <w:sz w:val="22"/>
          <w:szCs w:val="22"/>
        </w:rPr>
        <w:t>Lien entre motif de persécution et absence de protection</w:t>
      </w:r>
    </w:p>
    <w:p w:rsidR="0092374F" w:rsidRPr="00072B2C" w:rsidRDefault="0092374F" w:rsidP="0092374F">
      <w:pPr>
        <w:pStyle w:val="Paragraphedeliste"/>
        <w:rPr>
          <w:rFonts w:asciiTheme="minorHAnsi" w:hAnsiTheme="minorHAnsi"/>
          <w:sz w:val="22"/>
          <w:szCs w:val="22"/>
        </w:rPr>
      </w:pPr>
    </w:p>
    <w:p w:rsidR="000F68CB" w:rsidRPr="00072B2C" w:rsidRDefault="000F68CB" w:rsidP="000F68CB">
      <w:r w:rsidRPr="00072B2C">
        <w:t xml:space="preserve">Le lien </w:t>
      </w:r>
      <w:r w:rsidR="0092374F" w:rsidRPr="00072B2C">
        <w:t xml:space="preserve">déjà </w:t>
      </w:r>
      <w:r w:rsidRPr="00072B2C">
        <w:t xml:space="preserve">nécessaire entre les motifs de persécution </w:t>
      </w:r>
      <w:r w:rsidR="0092374F" w:rsidRPr="00072B2C">
        <w:t xml:space="preserve">et les actes persécution </w:t>
      </w:r>
      <w:r w:rsidRPr="00072B2C">
        <w:t xml:space="preserve">prévu à l’article 48/3, §3, </w:t>
      </w:r>
      <w:r w:rsidR="00162A89" w:rsidRPr="00072B2C">
        <w:t xml:space="preserve">est </w:t>
      </w:r>
      <w:r w:rsidR="0092374F" w:rsidRPr="00072B2C">
        <w:t xml:space="preserve">également requis entre les motifs de persécution et </w:t>
      </w:r>
      <w:r w:rsidRPr="00072B2C">
        <w:t xml:space="preserve">l’absence de protection contre de </w:t>
      </w:r>
      <w:r w:rsidR="00FF436B" w:rsidRPr="00072B2C">
        <w:t>tels</w:t>
      </w:r>
      <w:r w:rsidRPr="00072B2C">
        <w:t xml:space="preserve"> actes, conformément </w:t>
      </w:r>
      <w:r w:rsidR="0092374F" w:rsidRPr="00072B2C">
        <w:t>à l’article 9.3 de la directive.</w:t>
      </w:r>
    </w:p>
    <w:p w:rsidR="0092374F" w:rsidRPr="00072B2C" w:rsidRDefault="0092374F" w:rsidP="0092374F">
      <w:pPr>
        <w:pStyle w:val="Paragraphedeliste"/>
        <w:numPr>
          <w:ilvl w:val="0"/>
          <w:numId w:val="9"/>
        </w:numPr>
        <w:rPr>
          <w:rFonts w:asciiTheme="minorHAnsi" w:hAnsiTheme="minorHAnsi"/>
          <w:sz w:val="22"/>
          <w:szCs w:val="22"/>
        </w:rPr>
      </w:pPr>
      <w:r w:rsidRPr="00072B2C">
        <w:rPr>
          <w:rFonts w:asciiTheme="minorHAnsi" w:hAnsiTheme="minorHAnsi"/>
          <w:sz w:val="22"/>
          <w:szCs w:val="22"/>
        </w:rPr>
        <w:lastRenderedPageBreak/>
        <w:t>Extension de la définition de groupe social</w:t>
      </w:r>
    </w:p>
    <w:p w:rsidR="0092374F" w:rsidRPr="00072B2C" w:rsidRDefault="0092374F" w:rsidP="0092374F">
      <w:pPr>
        <w:pStyle w:val="Paragraphedeliste"/>
        <w:rPr>
          <w:rFonts w:asciiTheme="minorHAnsi" w:hAnsiTheme="minorHAnsi"/>
          <w:sz w:val="22"/>
          <w:szCs w:val="22"/>
        </w:rPr>
      </w:pPr>
    </w:p>
    <w:p w:rsidR="000F68CB" w:rsidRPr="00072B2C" w:rsidRDefault="00557821" w:rsidP="000F68CB">
      <w:r w:rsidRPr="00072B2C">
        <w:t xml:space="preserve">Il est précisé que le </w:t>
      </w:r>
      <w:r w:rsidR="000F68CB" w:rsidRPr="00072B2C">
        <w:t xml:space="preserve">groupe social </w:t>
      </w:r>
      <w:r w:rsidRPr="00072B2C">
        <w:t>recouvre également des individus ayant, en fonction des circonstances qui prévalent dans le pays d’origine, une orientation sexuelle comme caractéristique commune. L’orientation sexuelle ne recouvre pas les faits jugés délictueux selon le droit belge</w:t>
      </w:r>
      <w:r w:rsidR="00CC524D" w:rsidRPr="00072B2C">
        <w:t>,</w:t>
      </w:r>
      <w:r w:rsidRPr="00072B2C">
        <w:t xml:space="preserve"> et implique de prendre en considération les aspects liés au genre, dont l’identité de genre, aux fins de la reconnaissance de l’appartenance à un groupe social ou de l’identification d’une caractéristique d’un tel groupe. A cet égard, l’article 48/3 de la loi transpose l’article 10.d, al. 2 de la directive.</w:t>
      </w:r>
    </w:p>
    <w:p w:rsidR="0092374F" w:rsidRPr="00072B2C" w:rsidRDefault="0092374F" w:rsidP="0092374F">
      <w:pPr>
        <w:pStyle w:val="Paragraphedeliste"/>
        <w:numPr>
          <w:ilvl w:val="0"/>
          <w:numId w:val="9"/>
        </w:numPr>
        <w:rPr>
          <w:rFonts w:asciiTheme="minorHAnsi" w:hAnsiTheme="minorHAnsi"/>
          <w:sz w:val="22"/>
          <w:szCs w:val="22"/>
        </w:rPr>
      </w:pPr>
      <w:r w:rsidRPr="00072B2C">
        <w:rPr>
          <w:rFonts w:asciiTheme="minorHAnsi" w:hAnsiTheme="minorHAnsi"/>
          <w:sz w:val="22"/>
          <w:szCs w:val="22"/>
        </w:rPr>
        <w:t>Acteurs de protection</w:t>
      </w:r>
    </w:p>
    <w:p w:rsidR="0092374F" w:rsidRPr="00072B2C" w:rsidRDefault="0092374F" w:rsidP="0092374F">
      <w:pPr>
        <w:pStyle w:val="Paragraphedeliste"/>
        <w:rPr>
          <w:rFonts w:asciiTheme="minorHAnsi" w:hAnsiTheme="minorHAnsi"/>
          <w:sz w:val="22"/>
          <w:szCs w:val="22"/>
        </w:rPr>
      </w:pPr>
    </w:p>
    <w:p w:rsidR="00397E72" w:rsidRPr="00072B2C" w:rsidRDefault="00B35A7E" w:rsidP="000F68CB">
      <w:r w:rsidRPr="00072B2C">
        <w:t>Vis-à-vis d</w:t>
      </w:r>
      <w:r w:rsidR="00557821" w:rsidRPr="00072B2C">
        <w:t xml:space="preserve">es acteurs de protection </w:t>
      </w:r>
      <w:r w:rsidRPr="00072B2C">
        <w:t xml:space="preserve">consistant dans les partis ou organisations internationales, il est </w:t>
      </w:r>
      <w:r w:rsidR="0092374F" w:rsidRPr="00072B2C">
        <w:t xml:space="preserve">requis qu’ils soient </w:t>
      </w:r>
      <w:r w:rsidRPr="00072B2C">
        <w:t xml:space="preserve">disposés et en mesure d’offrir une </w:t>
      </w:r>
      <w:r w:rsidR="00397E72" w:rsidRPr="00072B2C">
        <w:t>protection. Par ailleurs, la protection offerte par les acteurs de protection doit être effective et non temporaire. Ces précisions sont intégrées à l’article 48/5, §2, de la loi.</w:t>
      </w:r>
    </w:p>
    <w:p w:rsidR="0092374F" w:rsidRPr="00072B2C" w:rsidRDefault="0092374F" w:rsidP="0092374F">
      <w:pPr>
        <w:pStyle w:val="Paragraphedeliste"/>
        <w:numPr>
          <w:ilvl w:val="0"/>
          <w:numId w:val="9"/>
        </w:numPr>
        <w:rPr>
          <w:rFonts w:asciiTheme="minorHAnsi" w:hAnsiTheme="minorHAnsi"/>
          <w:sz w:val="22"/>
          <w:szCs w:val="22"/>
        </w:rPr>
      </w:pPr>
      <w:r w:rsidRPr="00072B2C">
        <w:rPr>
          <w:rFonts w:asciiTheme="minorHAnsi" w:hAnsiTheme="minorHAnsi"/>
          <w:sz w:val="22"/>
          <w:szCs w:val="22"/>
        </w:rPr>
        <w:t>Alternative de protection interne</w:t>
      </w:r>
    </w:p>
    <w:p w:rsidR="00397E72" w:rsidRPr="00072B2C" w:rsidRDefault="00397E72" w:rsidP="007D7783">
      <w:pPr>
        <w:pStyle w:val="CM1"/>
        <w:spacing w:before="200" w:after="200" w:line="276" w:lineRule="auto"/>
        <w:rPr>
          <w:rFonts w:asciiTheme="minorHAnsi" w:hAnsiTheme="minorHAnsi" w:cs="EUAlbertina"/>
          <w:color w:val="000000"/>
          <w:sz w:val="22"/>
          <w:szCs w:val="22"/>
        </w:rPr>
      </w:pPr>
      <w:r w:rsidRPr="00072B2C">
        <w:rPr>
          <w:rFonts w:asciiTheme="minorHAnsi" w:hAnsiTheme="minorHAnsi"/>
          <w:sz w:val="22"/>
          <w:szCs w:val="22"/>
        </w:rPr>
        <w:t xml:space="preserve">La notion d’alternative de protection interne </w:t>
      </w:r>
      <w:r w:rsidR="00BC42EF" w:rsidRPr="00072B2C">
        <w:rPr>
          <w:rFonts w:asciiTheme="minorHAnsi" w:hAnsiTheme="minorHAnsi"/>
          <w:sz w:val="22"/>
          <w:szCs w:val="22"/>
        </w:rPr>
        <w:t xml:space="preserve">prévue à l’article 48/5, §3, de la loi, </w:t>
      </w:r>
      <w:r w:rsidRPr="00072B2C">
        <w:rPr>
          <w:rFonts w:asciiTheme="minorHAnsi" w:hAnsiTheme="minorHAnsi"/>
          <w:sz w:val="22"/>
          <w:szCs w:val="22"/>
        </w:rPr>
        <w:t>est également re</w:t>
      </w:r>
      <w:r w:rsidR="00BC42EF" w:rsidRPr="00072B2C">
        <w:rPr>
          <w:rFonts w:asciiTheme="minorHAnsi" w:hAnsiTheme="minorHAnsi"/>
          <w:sz w:val="22"/>
          <w:szCs w:val="22"/>
        </w:rPr>
        <w:t xml:space="preserve">visitée </w:t>
      </w:r>
      <w:r w:rsidRPr="00072B2C">
        <w:rPr>
          <w:rFonts w:asciiTheme="minorHAnsi" w:hAnsiTheme="minorHAnsi"/>
          <w:sz w:val="22"/>
          <w:szCs w:val="22"/>
        </w:rPr>
        <w:t xml:space="preserve">en conformité avec l’article </w:t>
      </w:r>
      <w:r w:rsidR="0049095B" w:rsidRPr="00072B2C">
        <w:rPr>
          <w:rFonts w:asciiTheme="minorHAnsi" w:hAnsiTheme="minorHAnsi"/>
          <w:sz w:val="22"/>
          <w:szCs w:val="22"/>
        </w:rPr>
        <w:t xml:space="preserve">8 de la directive </w:t>
      </w:r>
      <w:r w:rsidR="0049095B" w:rsidRPr="00072B2C">
        <w:rPr>
          <w:rFonts w:asciiTheme="minorHAnsi" w:hAnsiTheme="minorHAnsi"/>
          <w:sz w:val="22"/>
          <w:szCs w:val="22"/>
        </w:rPr>
        <w:lastRenderedPageBreak/>
        <w:t>qualification</w:t>
      </w:r>
      <w:r w:rsidR="00BC42EF" w:rsidRPr="00072B2C">
        <w:rPr>
          <w:rStyle w:val="Appelnotedebasdep"/>
          <w:rFonts w:asciiTheme="minorHAnsi" w:hAnsiTheme="minorHAnsi"/>
          <w:sz w:val="22"/>
          <w:szCs w:val="22"/>
        </w:rPr>
        <w:footnoteReference w:id="4"/>
      </w:r>
      <w:r w:rsidR="0049095B" w:rsidRPr="00072B2C">
        <w:rPr>
          <w:rFonts w:asciiTheme="minorHAnsi" w:hAnsiTheme="minorHAnsi"/>
          <w:sz w:val="22"/>
          <w:szCs w:val="22"/>
        </w:rPr>
        <w:t xml:space="preserve">. La </w:t>
      </w:r>
      <w:r w:rsidR="0092374F" w:rsidRPr="00072B2C">
        <w:rPr>
          <w:rFonts w:asciiTheme="minorHAnsi" w:hAnsiTheme="minorHAnsi"/>
          <w:sz w:val="22"/>
          <w:szCs w:val="22"/>
        </w:rPr>
        <w:t>directive ajoute qu’</w:t>
      </w:r>
      <w:r w:rsidR="0049095B" w:rsidRPr="00072B2C">
        <w:rPr>
          <w:rFonts w:asciiTheme="minorHAnsi" w:hAnsiTheme="minorHAnsi"/>
          <w:sz w:val="22"/>
          <w:szCs w:val="22"/>
        </w:rPr>
        <w:t>« </w:t>
      </w:r>
      <w:r w:rsidR="0049095B" w:rsidRPr="00072B2C">
        <w:rPr>
          <w:rFonts w:asciiTheme="minorHAnsi" w:hAnsiTheme="minorHAnsi" w:cs="EUAlbertina"/>
          <w:i/>
          <w:color w:val="000000"/>
          <w:sz w:val="22"/>
          <w:szCs w:val="22"/>
        </w:rPr>
        <w:t>À cette fin, les États membres veillent à obtenir des informations précises et actualisées auprès de sources pertinentes, telles que le Haut-Commissariat des Nations unies pour les réfugiés et le Bureau européen d’appui en matière d’asile</w:t>
      </w:r>
      <w:r w:rsidR="0092374F" w:rsidRPr="00072B2C">
        <w:rPr>
          <w:rFonts w:asciiTheme="minorHAnsi" w:hAnsiTheme="minorHAnsi" w:cs="EUAlbertina"/>
          <w:color w:val="000000"/>
          <w:sz w:val="22"/>
          <w:szCs w:val="22"/>
        </w:rPr>
        <w:t> » (art. 8.3.)</w:t>
      </w:r>
      <w:r w:rsidR="0049095B" w:rsidRPr="00072B2C">
        <w:rPr>
          <w:rFonts w:asciiTheme="minorHAnsi" w:hAnsiTheme="minorHAnsi" w:cs="EUAlbertina"/>
          <w:color w:val="000000"/>
          <w:sz w:val="22"/>
          <w:szCs w:val="22"/>
        </w:rPr>
        <w:t xml:space="preserve">. </w:t>
      </w:r>
    </w:p>
    <w:p w:rsidR="0092374F" w:rsidRPr="00072B2C" w:rsidRDefault="0092374F" w:rsidP="0092374F">
      <w:pPr>
        <w:pStyle w:val="Default"/>
        <w:numPr>
          <w:ilvl w:val="0"/>
          <w:numId w:val="9"/>
        </w:numPr>
        <w:rPr>
          <w:rFonts w:asciiTheme="minorHAnsi" w:hAnsiTheme="minorHAnsi"/>
          <w:sz w:val="22"/>
          <w:szCs w:val="22"/>
        </w:rPr>
      </w:pPr>
      <w:r w:rsidRPr="00072B2C">
        <w:rPr>
          <w:rFonts w:asciiTheme="minorHAnsi" w:hAnsiTheme="minorHAnsi"/>
          <w:sz w:val="22"/>
          <w:szCs w:val="22"/>
        </w:rPr>
        <w:lastRenderedPageBreak/>
        <w:t>Notion de premier pays d’asile</w:t>
      </w:r>
    </w:p>
    <w:p w:rsidR="0092374F" w:rsidRPr="00072B2C" w:rsidRDefault="0092374F" w:rsidP="0092374F">
      <w:pPr>
        <w:pStyle w:val="Default"/>
        <w:ind w:left="720"/>
        <w:rPr>
          <w:rFonts w:asciiTheme="minorHAnsi" w:hAnsiTheme="minorHAnsi"/>
          <w:sz w:val="22"/>
          <w:szCs w:val="22"/>
        </w:rPr>
      </w:pPr>
    </w:p>
    <w:p w:rsidR="00BC42EF" w:rsidRPr="00072B2C" w:rsidRDefault="00ED64C6" w:rsidP="007D7783">
      <w:pPr>
        <w:pStyle w:val="NormalWeb"/>
        <w:spacing w:before="75" w:beforeAutospacing="0" w:after="75" w:afterAutospacing="0" w:line="276" w:lineRule="auto"/>
        <w:ind w:right="225"/>
        <w:rPr>
          <w:rFonts w:asciiTheme="minorHAnsi" w:hAnsiTheme="minorHAnsi" w:cs="Tahoma"/>
          <w:i/>
          <w:color w:val="000000"/>
          <w:sz w:val="22"/>
          <w:szCs w:val="22"/>
        </w:rPr>
      </w:pPr>
      <w:r w:rsidRPr="00072B2C">
        <w:rPr>
          <w:rFonts w:asciiTheme="minorHAnsi" w:hAnsiTheme="minorHAnsi"/>
          <w:sz w:val="22"/>
          <w:szCs w:val="22"/>
        </w:rPr>
        <w:t>A</w:t>
      </w:r>
      <w:r w:rsidR="00BC42EF" w:rsidRPr="00072B2C">
        <w:rPr>
          <w:rFonts w:asciiTheme="minorHAnsi" w:hAnsiTheme="minorHAnsi"/>
          <w:sz w:val="22"/>
          <w:szCs w:val="22"/>
        </w:rPr>
        <w:t xml:space="preserve">u §4 du même article, la loi belge intègre le concept de premier pays d’asile et prévoit qu’il n’y a pas lieu d’accorder la protection lorsque l’intéressé bénéficie déjà d’une protection réelle dans un premier pays d’asile </w:t>
      </w:r>
      <w:r w:rsidR="00693AD8" w:rsidRPr="00072B2C">
        <w:rPr>
          <w:rFonts w:asciiTheme="minorHAnsi" w:hAnsiTheme="minorHAnsi"/>
          <w:sz w:val="22"/>
          <w:szCs w:val="22"/>
        </w:rPr>
        <w:t xml:space="preserve">tel que défini par </w:t>
      </w:r>
      <w:r w:rsidR="00BC42EF" w:rsidRPr="00072B2C">
        <w:rPr>
          <w:rFonts w:asciiTheme="minorHAnsi" w:hAnsiTheme="minorHAnsi"/>
          <w:sz w:val="22"/>
          <w:szCs w:val="22"/>
        </w:rPr>
        <w:t>la directive procédure en son article 26</w:t>
      </w:r>
      <w:r w:rsidR="00693AD8" w:rsidRPr="00072B2C">
        <w:rPr>
          <w:rStyle w:val="Appelnotedebasdep"/>
          <w:rFonts w:asciiTheme="minorHAnsi" w:hAnsiTheme="minorHAnsi"/>
          <w:sz w:val="22"/>
          <w:szCs w:val="22"/>
        </w:rPr>
        <w:footnoteReference w:id="5"/>
      </w:r>
      <w:r w:rsidR="00BC42EF" w:rsidRPr="00072B2C">
        <w:rPr>
          <w:rFonts w:asciiTheme="minorHAnsi" w:hAnsiTheme="minorHAnsi"/>
          <w:sz w:val="22"/>
          <w:szCs w:val="22"/>
        </w:rPr>
        <w:t xml:space="preserve">. Selon </w:t>
      </w:r>
      <w:r w:rsidR="00AD7D73" w:rsidRPr="00072B2C">
        <w:rPr>
          <w:rFonts w:asciiTheme="minorHAnsi" w:hAnsiTheme="minorHAnsi"/>
          <w:sz w:val="22"/>
          <w:szCs w:val="22"/>
        </w:rPr>
        <w:t>l’article 26 de la directive</w:t>
      </w:r>
      <w:r w:rsidR="00BC42EF" w:rsidRPr="00072B2C">
        <w:rPr>
          <w:rFonts w:asciiTheme="minorHAnsi" w:hAnsiTheme="minorHAnsi"/>
          <w:sz w:val="22"/>
          <w:szCs w:val="22"/>
        </w:rPr>
        <w:t>, « </w:t>
      </w:r>
      <w:r w:rsidR="00BC42EF" w:rsidRPr="00072B2C">
        <w:rPr>
          <w:rFonts w:asciiTheme="minorHAnsi" w:hAnsiTheme="minorHAnsi" w:cs="Tahoma"/>
          <w:i/>
          <w:color w:val="000000"/>
          <w:sz w:val="22"/>
          <w:szCs w:val="22"/>
        </w:rPr>
        <w:t>Un pays peut être considéré comme le premier pays d’asile d’un demandeur d’asile particulier, si le demandeur:</w:t>
      </w:r>
    </w:p>
    <w:p w:rsidR="00BC42EF" w:rsidRPr="00072B2C" w:rsidRDefault="00BC42EF" w:rsidP="007D7783">
      <w:pPr>
        <w:spacing w:before="75" w:after="75"/>
        <w:ind w:right="225"/>
        <w:rPr>
          <w:rFonts w:eastAsia="Times New Roman" w:cs="Tahoma"/>
          <w:i/>
          <w:color w:val="000000"/>
          <w:lang w:eastAsia="fr-BE"/>
        </w:rPr>
      </w:pPr>
      <w:r w:rsidRPr="00072B2C">
        <w:rPr>
          <w:rFonts w:eastAsia="Times New Roman" w:cs="Tahoma"/>
          <w:i/>
          <w:color w:val="000000"/>
          <w:lang w:eastAsia="fr-BE"/>
        </w:rPr>
        <w:t>a) s’est vu reconnaître la qualité de réfugié dans ce pays et peut encore se prévaloir de cette protection, ou</w:t>
      </w:r>
    </w:p>
    <w:p w:rsidR="00BC42EF" w:rsidRPr="00072B2C" w:rsidRDefault="00BC42EF" w:rsidP="007D7783">
      <w:pPr>
        <w:spacing w:before="75" w:after="75"/>
        <w:ind w:right="225"/>
        <w:rPr>
          <w:rFonts w:eastAsia="Times New Roman" w:cs="Tahoma"/>
          <w:i/>
          <w:color w:val="000000"/>
          <w:lang w:eastAsia="fr-BE"/>
        </w:rPr>
      </w:pPr>
      <w:r w:rsidRPr="00072B2C">
        <w:rPr>
          <w:rFonts w:eastAsia="Times New Roman" w:cs="Tahoma"/>
          <w:i/>
          <w:color w:val="000000"/>
          <w:lang w:eastAsia="fr-BE"/>
        </w:rPr>
        <w:t>b) jouit, à un autre titre, d’une protection suffisante dans ce pays, y compris du bénéfice du principe de non refoulement;</w:t>
      </w:r>
    </w:p>
    <w:p w:rsidR="00BC42EF" w:rsidRPr="00072B2C" w:rsidRDefault="00BC42EF" w:rsidP="007D7783">
      <w:pPr>
        <w:spacing w:before="75" w:after="75"/>
        <w:ind w:right="225"/>
        <w:rPr>
          <w:rFonts w:eastAsia="Times New Roman" w:cs="Tahoma"/>
          <w:color w:val="000000"/>
          <w:lang w:eastAsia="fr-BE"/>
        </w:rPr>
      </w:pPr>
      <w:r w:rsidRPr="00072B2C">
        <w:rPr>
          <w:rFonts w:eastAsia="Times New Roman" w:cs="Tahoma"/>
          <w:i/>
          <w:color w:val="000000"/>
          <w:lang w:eastAsia="fr-BE"/>
        </w:rPr>
        <w:t>à condition qu’il soit réadmis dans ce pays</w:t>
      </w:r>
      <w:r w:rsidRPr="00072B2C">
        <w:rPr>
          <w:rFonts w:eastAsia="Times New Roman" w:cs="Tahoma"/>
          <w:color w:val="000000"/>
          <w:lang w:eastAsia="fr-BE"/>
        </w:rPr>
        <w:t> ».</w:t>
      </w:r>
    </w:p>
    <w:p w:rsidR="00A902AB" w:rsidRPr="00072B2C" w:rsidRDefault="00A902AB" w:rsidP="007D7783">
      <w:pPr>
        <w:pStyle w:val="NormalWeb"/>
        <w:spacing w:before="75" w:beforeAutospacing="0" w:after="75" w:afterAutospacing="0" w:line="276" w:lineRule="auto"/>
        <w:ind w:right="225"/>
        <w:rPr>
          <w:rFonts w:asciiTheme="minorHAnsi" w:hAnsiTheme="minorHAnsi"/>
          <w:sz w:val="22"/>
          <w:szCs w:val="22"/>
        </w:rPr>
      </w:pPr>
      <w:r w:rsidRPr="00072B2C">
        <w:rPr>
          <w:rFonts w:asciiTheme="minorHAnsi" w:hAnsiTheme="minorHAnsi"/>
          <w:sz w:val="22"/>
          <w:szCs w:val="22"/>
        </w:rPr>
        <w:t>Ce concept, qui vise les demandeurs déjà reconnus refugiés par un pays tiers à l’Union européenne, avait été jugé inapplicable en droit belge par le CCE, à défaut de transposition dans la loi</w:t>
      </w:r>
      <w:r w:rsidRPr="00072B2C">
        <w:rPr>
          <w:rStyle w:val="Appelnotedebasdep"/>
          <w:rFonts w:asciiTheme="minorHAnsi" w:hAnsiTheme="minorHAnsi"/>
          <w:sz w:val="22"/>
          <w:szCs w:val="22"/>
        </w:rPr>
        <w:footnoteReference w:id="6"/>
      </w:r>
      <w:r w:rsidRPr="00072B2C">
        <w:rPr>
          <w:rFonts w:asciiTheme="minorHAnsi" w:hAnsiTheme="minorHAnsi"/>
          <w:sz w:val="22"/>
          <w:szCs w:val="22"/>
        </w:rPr>
        <w:t>.</w:t>
      </w:r>
    </w:p>
    <w:p w:rsidR="009A3238" w:rsidRPr="00072B2C" w:rsidRDefault="009A3238" w:rsidP="007D7783">
      <w:pPr>
        <w:pStyle w:val="Default"/>
        <w:spacing w:line="276" w:lineRule="auto"/>
        <w:rPr>
          <w:rFonts w:asciiTheme="minorHAnsi" w:hAnsiTheme="minorHAnsi"/>
          <w:color w:val="auto"/>
          <w:sz w:val="22"/>
          <w:szCs w:val="22"/>
        </w:rPr>
      </w:pPr>
    </w:p>
    <w:p w:rsidR="00AD7D73" w:rsidRPr="00072B2C" w:rsidRDefault="009A3238" w:rsidP="007D7783">
      <w:pPr>
        <w:pStyle w:val="Default"/>
        <w:spacing w:line="276" w:lineRule="auto"/>
        <w:rPr>
          <w:rFonts w:asciiTheme="minorHAnsi" w:hAnsiTheme="minorHAnsi"/>
          <w:color w:val="auto"/>
          <w:sz w:val="22"/>
          <w:szCs w:val="22"/>
        </w:rPr>
      </w:pPr>
      <w:r w:rsidRPr="00072B2C">
        <w:rPr>
          <w:rFonts w:asciiTheme="minorHAnsi" w:hAnsiTheme="minorHAnsi"/>
          <w:color w:val="auto"/>
          <w:sz w:val="22"/>
          <w:szCs w:val="22"/>
        </w:rPr>
        <w:lastRenderedPageBreak/>
        <w:t xml:space="preserve">En ce qui concerne la notion de </w:t>
      </w:r>
      <w:r w:rsidRPr="00072B2C">
        <w:rPr>
          <w:rFonts w:asciiTheme="minorHAnsi" w:hAnsiTheme="minorHAnsi"/>
          <w:sz w:val="22"/>
          <w:szCs w:val="22"/>
        </w:rPr>
        <w:t>« </w:t>
      </w:r>
      <w:r w:rsidRPr="00072B2C">
        <w:rPr>
          <w:rFonts w:asciiTheme="minorHAnsi" w:hAnsiTheme="minorHAnsi"/>
          <w:color w:val="auto"/>
          <w:sz w:val="22"/>
          <w:szCs w:val="22"/>
        </w:rPr>
        <w:t>protection réelle</w:t>
      </w:r>
      <w:r w:rsidRPr="00072B2C">
        <w:rPr>
          <w:rFonts w:asciiTheme="minorHAnsi" w:hAnsiTheme="minorHAnsi"/>
          <w:sz w:val="22"/>
          <w:szCs w:val="22"/>
        </w:rPr>
        <w:t> »</w:t>
      </w:r>
      <w:r w:rsidRPr="00072B2C">
        <w:rPr>
          <w:rFonts w:asciiTheme="minorHAnsi" w:hAnsiTheme="minorHAnsi"/>
          <w:color w:val="auto"/>
          <w:sz w:val="22"/>
          <w:szCs w:val="22"/>
        </w:rPr>
        <w:t>, les travaux préparatoires précisent que</w:t>
      </w:r>
      <w:r w:rsidRPr="00072B2C">
        <w:rPr>
          <w:rFonts w:asciiTheme="minorHAnsi" w:hAnsiTheme="minorHAnsi" w:cs="HelveticaLTStd-Roman"/>
          <w:sz w:val="22"/>
          <w:szCs w:val="22"/>
        </w:rPr>
        <w:t xml:space="preserve"> « </w:t>
      </w:r>
      <w:r w:rsidRPr="00072B2C">
        <w:rPr>
          <w:rFonts w:asciiTheme="minorHAnsi" w:hAnsiTheme="minorHAnsi" w:cs="HelveticaLTStd-Roman"/>
          <w:i/>
          <w:sz w:val="22"/>
          <w:szCs w:val="22"/>
        </w:rPr>
        <w:t>le premier pays d’asile offre une protection réelle lorsque le demandeur d’asile dispose dans le pays en question d’un statut de séjour effectif et d’une possibilité réelle d’y retourner, qu’il n’éprouve pas de crainte fondée de persécution à l’égard de ce pays ou n’y court pas de risque réel de subir des atteintes graves au sens des articles 48/3 et 48/4 de la présente loi. La protection réelle implique également le fait que le demandeur d’asile peut compter sur le principe de non-refoulement</w:t>
      </w:r>
      <w:r w:rsidR="00A902AB" w:rsidRPr="00072B2C">
        <w:rPr>
          <w:rFonts w:asciiTheme="minorHAnsi" w:hAnsiTheme="minorHAnsi" w:cs="HelveticaLTStd-Roman"/>
          <w:i/>
          <w:sz w:val="22"/>
          <w:szCs w:val="22"/>
        </w:rPr>
        <w:t xml:space="preserve"> (…) </w:t>
      </w:r>
      <w:r w:rsidRPr="00072B2C">
        <w:rPr>
          <w:rFonts w:asciiTheme="minorHAnsi" w:hAnsiTheme="minorHAnsi" w:cs="HelveticaLTStd-Roman"/>
          <w:i/>
          <w:sz w:val="22"/>
          <w:szCs w:val="22"/>
        </w:rPr>
        <w:t>qu’elle doit être effective et non-temporaire dans le sens qu’elle doit durer aussi longtemps que le besoin de protection existe </w:t>
      </w:r>
      <w:r w:rsidRPr="00072B2C">
        <w:rPr>
          <w:rFonts w:asciiTheme="minorHAnsi" w:hAnsiTheme="minorHAnsi" w:cs="HelveticaLTStd-Roman"/>
          <w:sz w:val="22"/>
          <w:szCs w:val="22"/>
        </w:rPr>
        <w:t>»</w:t>
      </w:r>
      <w:r w:rsidRPr="00072B2C">
        <w:rPr>
          <w:rStyle w:val="Appelnotedebasdep"/>
          <w:rFonts w:asciiTheme="minorHAnsi" w:hAnsiTheme="minorHAnsi" w:cs="HelveticaLTStd-Roman"/>
          <w:sz w:val="22"/>
          <w:szCs w:val="22"/>
        </w:rPr>
        <w:footnoteReference w:id="7"/>
      </w:r>
      <w:r w:rsidRPr="00072B2C">
        <w:rPr>
          <w:rFonts w:asciiTheme="minorHAnsi" w:hAnsiTheme="minorHAnsi" w:cs="HelveticaLTStd-Roman"/>
          <w:sz w:val="22"/>
          <w:szCs w:val="22"/>
        </w:rPr>
        <w:t>.</w:t>
      </w:r>
      <w:r w:rsidRPr="00072B2C">
        <w:rPr>
          <w:rFonts w:asciiTheme="minorHAnsi" w:hAnsiTheme="minorHAnsi"/>
          <w:color w:val="auto"/>
          <w:sz w:val="22"/>
          <w:szCs w:val="22"/>
        </w:rPr>
        <w:t xml:space="preserve"> </w:t>
      </w:r>
    </w:p>
    <w:p w:rsidR="00AD7D73" w:rsidRPr="00072B2C" w:rsidRDefault="00AD7D73" w:rsidP="007D7783">
      <w:pPr>
        <w:pStyle w:val="Default"/>
        <w:spacing w:line="276" w:lineRule="auto"/>
        <w:rPr>
          <w:rFonts w:asciiTheme="minorHAnsi" w:hAnsiTheme="minorHAnsi"/>
          <w:color w:val="auto"/>
          <w:sz w:val="22"/>
          <w:szCs w:val="22"/>
        </w:rPr>
      </w:pPr>
    </w:p>
    <w:p w:rsidR="00AD7D73" w:rsidRPr="00072B2C" w:rsidRDefault="00AD7D73" w:rsidP="007D7783">
      <w:pPr>
        <w:pStyle w:val="Default"/>
        <w:spacing w:line="276" w:lineRule="auto"/>
        <w:rPr>
          <w:rFonts w:asciiTheme="minorHAnsi" w:hAnsiTheme="minorHAnsi"/>
          <w:color w:val="auto"/>
          <w:sz w:val="22"/>
          <w:szCs w:val="22"/>
        </w:rPr>
      </w:pPr>
      <w:r w:rsidRPr="00072B2C">
        <w:rPr>
          <w:rFonts w:asciiTheme="minorHAnsi" w:hAnsiTheme="minorHAnsi"/>
          <w:color w:val="auto"/>
          <w:sz w:val="22"/>
          <w:szCs w:val="22"/>
        </w:rPr>
        <w:t>Il faut souligner que cette catégorie fait l’objet d’un examen de plein contentieux tant au CGRA que dans le cadre du recours devant le CCE</w:t>
      </w:r>
      <w:r w:rsidR="005A1A00" w:rsidRPr="00072B2C">
        <w:rPr>
          <w:rFonts w:asciiTheme="minorHAnsi" w:hAnsiTheme="minorHAnsi"/>
          <w:color w:val="auto"/>
          <w:sz w:val="22"/>
          <w:szCs w:val="22"/>
        </w:rPr>
        <w:t xml:space="preserve"> mais qu’une présomption réfragable </w:t>
      </w:r>
      <w:r w:rsidR="00A902AB" w:rsidRPr="00072B2C">
        <w:rPr>
          <w:rFonts w:asciiTheme="minorHAnsi" w:hAnsiTheme="minorHAnsi"/>
          <w:color w:val="auto"/>
          <w:sz w:val="22"/>
          <w:szCs w:val="22"/>
        </w:rPr>
        <w:t xml:space="preserve">existe </w:t>
      </w:r>
      <w:r w:rsidR="005A1A00" w:rsidRPr="00072B2C">
        <w:rPr>
          <w:rFonts w:asciiTheme="minorHAnsi" w:hAnsiTheme="minorHAnsi"/>
          <w:color w:val="auto"/>
          <w:sz w:val="22"/>
          <w:szCs w:val="22"/>
        </w:rPr>
        <w:t xml:space="preserve">que le demandeur dispose déjà d’une protection réelle et </w:t>
      </w:r>
      <w:r w:rsidR="00A902AB" w:rsidRPr="00072B2C">
        <w:rPr>
          <w:rFonts w:asciiTheme="minorHAnsi" w:hAnsiTheme="minorHAnsi"/>
          <w:color w:val="auto"/>
          <w:sz w:val="22"/>
          <w:szCs w:val="22"/>
        </w:rPr>
        <w:t xml:space="preserve">que la demande </w:t>
      </w:r>
      <w:r w:rsidR="005A1A00" w:rsidRPr="00072B2C">
        <w:rPr>
          <w:rFonts w:asciiTheme="minorHAnsi" w:hAnsiTheme="minorHAnsi"/>
          <w:color w:val="auto"/>
          <w:sz w:val="22"/>
          <w:szCs w:val="22"/>
        </w:rPr>
        <w:t>est traité</w:t>
      </w:r>
      <w:r w:rsidR="007D7783">
        <w:rPr>
          <w:rFonts w:asciiTheme="minorHAnsi" w:hAnsiTheme="minorHAnsi"/>
          <w:color w:val="auto"/>
          <w:sz w:val="22"/>
          <w:szCs w:val="22"/>
        </w:rPr>
        <w:t>e</w:t>
      </w:r>
      <w:r w:rsidR="005A1A00" w:rsidRPr="00072B2C">
        <w:rPr>
          <w:rFonts w:asciiTheme="minorHAnsi" w:hAnsiTheme="minorHAnsi"/>
          <w:color w:val="auto"/>
          <w:sz w:val="22"/>
          <w:szCs w:val="22"/>
        </w:rPr>
        <w:t xml:space="preserve"> selon une procédure prioritaire</w:t>
      </w:r>
      <w:r w:rsidRPr="00072B2C">
        <w:rPr>
          <w:rFonts w:asciiTheme="minorHAnsi" w:hAnsiTheme="minorHAnsi"/>
          <w:color w:val="auto"/>
          <w:sz w:val="22"/>
          <w:szCs w:val="22"/>
        </w:rPr>
        <w:t>.</w:t>
      </w:r>
      <w:r w:rsidR="005A1A00" w:rsidRPr="00072B2C">
        <w:rPr>
          <w:rFonts w:asciiTheme="minorHAnsi" w:hAnsiTheme="minorHAnsi"/>
          <w:color w:val="auto"/>
          <w:sz w:val="22"/>
          <w:szCs w:val="22"/>
        </w:rPr>
        <w:t xml:space="preserve"> </w:t>
      </w:r>
    </w:p>
    <w:p w:rsidR="0092374F" w:rsidRPr="00072B2C" w:rsidRDefault="0092374F" w:rsidP="00AD7D73">
      <w:pPr>
        <w:pStyle w:val="Default"/>
        <w:rPr>
          <w:rFonts w:asciiTheme="minorHAnsi" w:hAnsiTheme="minorHAnsi"/>
          <w:color w:val="auto"/>
          <w:sz w:val="22"/>
          <w:szCs w:val="22"/>
        </w:rPr>
      </w:pPr>
    </w:p>
    <w:p w:rsidR="0092374F" w:rsidRPr="00072B2C" w:rsidRDefault="0092374F" w:rsidP="0092374F">
      <w:pPr>
        <w:pStyle w:val="Default"/>
        <w:numPr>
          <w:ilvl w:val="0"/>
          <w:numId w:val="10"/>
        </w:numPr>
        <w:rPr>
          <w:rFonts w:asciiTheme="minorHAnsi" w:hAnsiTheme="minorHAnsi"/>
          <w:color w:val="auto"/>
          <w:sz w:val="22"/>
          <w:szCs w:val="22"/>
        </w:rPr>
      </w:pPr>
      <w:r w:rsidRPr="00072B2C">
        <w:rPr>
          <w:rFonts w:asciiTheme="minorHAnsi" w:hAnsiTheme="minorHAnsi"/>
          <w:color w:val="auto"/>
          <w:sz w:val="22"/>
          <w:szCs w:val="22"/>
        </w:rPr>
        <w:t>Réfugié reconnu par un Etat membre</w:t>
      </w:r>
    </w:p>
    <w:p w:rsidR="007D76E3" w:rsidRPr="00072B2C" w:rsidRDefault="007D76E3" w:rsidP="007D7783">
      <w:pPr>
        <w:pStyle w:val="Default"/>
        <w:spacing w:line="276" w:lineRule="auto"/>
        <w:rPr>
          <w:rFonts w:asciiTheme="minorHAnsi" w:hAnsiTheme="minorHAnsi"/>
          <w:color w:val="FF0000"/>
          <w:sz w:val="22"/>
          <w:szCs w:val="22"/>
        </w:rPr>
      </w:pPr>
    </w:p>
    <w:p w:rsidR="00CA4CCE" w:rsidRPr="00072B2C" w:rsidRDefault="00CA4CCE" w:rsidP="007D7783">
      <w:pPr>
        <w:pStyle w:val="Default"/>
        <w:spacing w:line="276" w:lineRule="auto"/>
        <w:rPr>
          <w:rFonts w:asciiTheme="minorHAnsi" w:hAnsiTheme="minorHAnsi"/>
          <w:color w:val="auto"/>
          <w:sz w:val="22"/>
          <w:szCs w:val="22"/>
        </w:rPr>
      </w:pPr>
      <w:r w:rsidRPr="00072B2C">
        <w:rPr>
          <w:rFonts w:asciiTheme="minorHAnsi" w:hAnsiTheme="minorHAnsi"/>
          <w:color w:val="auto"/>
          <w:sz w:val="22"/>
          <w:szCs w:val="22"/>
        </w:rPr>
        <w:t>La nouvelle loi prévoit également la possibilité de ne pas prendre en considération la demande d’une personne lorsqu’un autre Etat de l’Union européenne lui a reconnu le statut de réfugié</w:t>
      </w:r>
      <w:r w:rsidRPr="00072B2C">
        <w:rPr>
          <w:rStyle w:val="Appelnotedebasdep"/>
          <w:rFonts w:asciiTheme="minorHAnsi" w:hAnsiTheme="minorHAnsi"/>
          <w:color w:val="auto"/>
          <w:sz w:val="22"/>
          <w:szCs w:val="22"/>
        </w:rPr>
        <w:footnoteReference w:id="8"/>
      </w:r>
      <w:r w:rsidRPr="00072B2C">
        <w:rPr>
          <w:rFonts w:asciiTheme="minorHAnsi" w:hAnsiTheme="minorHAnsi"/>
          <w:color w:val="auto"/>
          <w:sz w:val="22"/>
          <w:szCs w:val="22"/>
        </w:rPr>
        <w:t xml:space="preserve">, à moins qu’elle apporte la preuve qu’elle ne peut plus recourir à cette protection. La décision de non </w:t>
      </w:r>
      <w:r w:rsidRPr="00072B2C">
        <w:rPr>
          <w:rFonts w:asciiTheme="minorHAnsi" w:hAnsiTheme="minorHAnsi"/>
          <w:color w:val="auto"/>
          <w:sz w:val="22"/>
          <w:szCs w:val="22"/>
        </w:rPr>
        <w:lastRenderedPageBreak/>
        <w:t xml:space="preserve">prise en considération doit être prise dans un délai de 15 jours. Il s’agit d’un délai d’ordre. </w:t>
      </w:r>
    </w:p>
    <w:p w:rsidR="0092374F" w:rsidRPr="00072B2C" w:rsidRDefault="0092374F" w:rsidP="007D76E3">
      <w:pPr>
        <w:pStyle w:val="Default"/>
        <w:rPr>
          <w:rFonts w:asciiTheme="minorHAnsi" w:hAnsiTheme="minorHAnsi"/>
          <w:color w:val="auto"/>
          <w:sz w:val="22"/>
          <w:szCs w:val="22"/>
        </w:rPr>
      </w:pPr>
    </w:p>
    <w:p w:rsidR="0092374F" w:rsidRPr="00072B2C" w:rsidRDefault="0092374F" w:rsidP="0092374F">
      <w:pPr>
        <w:pStyle w:val="Default"/>
        <w:numPr>
          <w:ilvl w:val="0"/>
          <w:numId w:val="10"/>
        </w:numPr>
        <w:rPr>
          <w:rFonts w:asciiTheme="minorHAnsi" w:hAnsiTheme="minorHAnsi"/>
          <w:color w:val="auto"/>
          <w:sz w:val="22"/>
          <w:szCs w:val="22"/>
        </w:rPr>
      </w:pPr>
      <w:r w:rsidRPr="00072B2C">
        <w:rPr>
          <w:rFonts w:asciiTheme="minorHAnsi" w:hAnsiTheme="minorHAnsi"/>
          <w:color w:val="auto"/>
          <w:sz w:val="22"/>
          <w:szCs w:val="22"/>
        </w:rPr>
        <w:t>Raisons impérieuses</w:t>
      </w:r>
    </w:p>
    <w:p w:rsidR="00ED64C6" w:rsidRPr="00072B2C" w:rsidRDefault="00ED64C6" w:rsidP="007D7783">
      <w:pPr>
        <w:pStyle w:val="Default"/>
        <w:spacing w:line="360" w:lineRule="auto"/>
        <w:rPr>
          <w:rFonts w:asciiTheme="minorHAnsi" w:hAnsiTheme="minorHAnsi"/>
          <w:color w:val="auto"/>
          <w:sz w:val="22"/>
          <w:szCs w:val="22"/>
        </w:rPr>
      </w:pPr>
    </w:p>
    <w:p w:rsidR="00ED64C6" w:rsidRPr="00072B2C" w:rsidRDefault="00ED64C6" w:rsidP="007D7783">
      <w:pPr>
        <w:pStyle w:val="Default"/>
        <w:spacing w:line="360" w:lineRule="auto"/>
        <w:rPr>
          <w:rFonts w:asciiTheme="minorHAnsi" w:hAnsiTheme="minorHAnsi"/>
          <w:color w:val="auto"/>
          <w:sz w:val="22"/>
          <w:szCs w:val="22"/>
        </w:rPr>
      </w:pPr>
      <w:r w:rsidRPr="00072B2C">
        <w:rPr>
          <w:rFonts w:asciiTheme="minorHAnsi" w:hAnsiTheme="minorHAnsi"/>
          <w:color w:val="auto"/>
          <w:sz w:val="22"/>
          <w:szCs w:val="22"/>
        </w:rPr>
        <w:t xml:space="preserve">Finalement, </w:t>
      </w:r>
      <w:r w:rsidR="008836F9" w:rsidRPr="00072B2C">
        <w:rPr>
          <w:rFonts w:asciiTheme="minorHAnsi" w:hAnsiTheme="minorHAnsi"/>
          <w:color w:val="auto"/>
          <w:sz w:val="22"/>
          <w:szCs w:val="22"/>
        </w:rPr>
        <w:t xml:space="preserve">il est expressément prévu que </w:t>
      </w:r>
      <w:r w:rsidRPr="00072B2C">
        <w:rPr>
          <w:rFonts w:asciiTheme="minorHAnsi" w:hAnsiTheme="minorHAnsi"/>
          <w:color w:val="auto"/>
          <w:sz w:val="22"/>
          <w:szCs w:val="22"/>
        </w:rPr>
        <w:t xml:space="preserve">la cessation ne s’applique pas à un réfugié </w:t>
      </w:r>
      <w:r w:rsidR="00A902AB" w:rsidRPr="00072B2C">
        <w:rPr>
          <w:rFonts w:asciiTheme="minorHAnsi" w:hAnsiTheme="minorHAnsi"/>
          <w:color w:val="auto"/>
          <w:sz w:val="22"/>
          <w:szCs w:val="22"/>
        </w:rPr>
        <w:t xml:space="preserve">ou un bénéficiaire de protection subsidiaire </w:t>
      </w:r>
      <w:r w:rsidRPr="00072B2C">
        <w:rPr>
          <w:rFonts w:asciiTheme="minorHAnsi" w:hAnsiTheme="minorHAnsi"/>
          <w:color w:val="auto"/>
          <w:sz w:val="22"/>
          <w:szCs w:val="22"/>
        </w:rPr>
        <w:t xml:space="preserve">pouvant faire valoir des raisons impérieuses tenant à des persécutions antérieures </w:t>
      </w:r>
      <w:r w:rsidR="008836F9" w:rsidRPr="00072B2C">
        <w:rPr>
          <w:rFonts w:asciiTheme="minorHAnsi" w:hAnsiTheme="minorHAnsi"/>
          <w:color w:val="auto"/>
          <w:sz w:val="22"/>
          <w:szCs w:val="22"/>
        </w:rPr>
        <w:t>(art. 55/3, al. 1</w:t>
      </w:r>
      <w:r w:rsidR="008836F9" w:rsidRPr="00072B2C">
        <w:rPr>
          <w:rFonts w:asciiTheme="minorHAnsi" w:hAnsiTheme="minorHAnsi"/>
          <w:color w:val="auto"/>
          <w:sz w:val="22"/>
          <w:szCs w:val="22"/>
          <w:vertAlign w:val="superscript"/>
        </w:rPr>
        <w:t>er</w:t>
      </w:r>
      <w:r w:rsidR="008836F9" w:rsidRPr="00072B2C">
        <w:rPr>
          <w:rFonts w:asciiTheme="minorHAnsi" w:hAnsiTheme="minorHAnsi"/>
          <w:color w:val="auto"/>
          <w:sz w:val="22"/>
          <w:szCs w:val="22"/>
        </w:rPr>
        <w:t xml:space="preserve">  et 55/5, al. 1</w:t>
      </w:r>
      <w:r w:rsidR="008836F9" w:rsidRPr="00072B2C">
        <w:rPr>
          <w:rFonts w:asciiTheme="minorHAnsi" w:hAnsiTheme="minorHAnsi"/>
          <w:color w:val="auto"/>
          <w:sz w:val="22"/>
          <w:szCs w:val="22"/>
          <w:vertAlign w:val="superscript"/>
        </w:rPr>
        <w:t>er</w:t>
      </w:r>
      <w:r w:rsidR="008836F9" w:rsidRPr="00072B2C">
        <w:rPr>
          <w:rFonts w:asciiTheme="minorHAnsi" w:hAnsiTheme="minorHAnsi"/>
          <w:color w:val="auto"/>
          <w:sz w:val="22"/>
          <w:szCs w:val="22"/>
        </w:rPr>
        <w:t>, de la Loi).</w:t>
      </w:r>
    </w:p>
    <w:p w:rsidR="00E85CF5" w:rsidRPr="00072B2C" w:rsidRDefault="00E85CF5" w:rsidP="007D76E3">
      <w:pPr>
        <w:pStyle w:val="Default"/>
        <w:rPr>
          <w:rFonts w:asciiTheme="minorHAnsi" w:hAnsiTheme="minorHAnsi"/>
          <w:color w:val="auto"/>
          <w:sz w:val="22"/>
          <w:szCs w:val="22"/>
        </w:rPr>
      </w:pPr>
    </w:p>
    <w:p w:rsidR="00E85CF5" w:rsidRPr="00072B2C" w:rsidRDefault="0092374F" w:rsidP="0092374F">
      <w:pPr>
        <w:pStyle w:val="Default"/>
        <w:numPr>
          <w:ilvl w:val="0"/>
          <w:numId w:val="10"/>
        </w:numPr>
        <w:rPr>
          <w:rFonts w:asciiTheme="minorHAnsi" w:hAnsiTheme="minorHAnsi"/>
          <w:color w:val="auto"/>
          <w:sz w:val="22"/>
          <w:szCs w:val="22"/>
        </w:rPr>
      </w:pPr>
      <w:r w:rsidRPr="00072B2C">
        <w:rPr>
          <w:rFonts w:asciiTheme="minorHAnsi" w:hAnsiTheme="minorHAnsi"/>
          <w:color w:val="auto"/>
          <w:sz w:val="22"/>
          <w:szCs w:val="22"/>
        </w:rPr>
        <w:t>Principes en matière de preuve</w:t>
      </w:r>
    </w:p>
    <w:p w:rsidR="0092374F" w:rsidRPr="00072B2C" w:rsidRDefault="0092374F" w:rsidP="007D7783">
      <w:pPr>
        <w:pStyle w:val="Default"/>
        <w:spacing w:line="276" w:lineRule="auto"/>
        <w:rPr>
          <w:rFonts w:asciiTheme="minorHAnsi" w:hAnsiTheme="minorHAnsi"/>
          <w:color w:val="auto"/>
          <w:sz w:val="22"/>
          <w:szCs w:val="22"/>
        </w:rPr>
      </w:pPr>
    </w:p>
    <w:p w:rsidR="00B130A8" w:rsidRPr="00072B2C" w:rsidRDefault="00B130A8" w:rsidP="007D7783">
      <w:pPr>
        <w:pStyle w:val="Default"/>
        <w:spacing w:line="276" w:lineRule="auto"/>
        <w:rPr>
          <w:rFonts w:asciiTheme="minorHAnsi" w:hAnsiTheme="minorHAnsi"/>
          <w:color w:val="auto"/>
          <w:sz w:val="22"/>
          <w:szCs w:val="22"/>
        </w:rPr>
      </w:pPr>
      <w:r w:rsidRPr="00072B2C">
        <w:rPr>
          <w:rFonts w:asciiTheme="minorHAnsi" w:hAnsiTheme="minorHAnsi"/>
          <w:color w:val="auto"/>
          <w:sz w:val="22"/>
          <w:szCs w:val="22"/>
        </w:rPr>
        <w:t>Les articles 57/7</w:t>
      </w:r>
      <w:r w:rsidRPr="00072B2C">
        <w:rPr>
          <w:rFonts w:asciiTheme="minorHAnsi" w:hAnsiTheme="minorHAnsi"/>
          <w:i/>
          <w:color w:val="auto"/>
          <w:sz w:val="22"/>
          <w:szCs w:val="22"/>
        </w:rPr>
        <w:t>bis</w:t>
      </w:r>
      <w:r w:rsidRPr="00072B2C">
        <w:rPr>
          <w:rFonts w:asciiTheme="minorHAnsi" w:hAnsiTheme="minorHAnsi"/>
          <w:color w:val="auto"/>
          <w:sz w:val="22"/>
          <w:szCs w:val="22"/>
        </w:rPr>
        <w:t>, relatif à l’impact des persécutions antérieur</w:t>
      </w:r>
      <w:r w:rsidR="006873B5" w:rsidRPr="00072B2C">
        <w:rPr>
          <w:rFonts w:asciiTheme="minorHAnsi" w:hAnsiTheme="minorHAnsi"/>
          <w:color w:val="auto"/>
          <w:sz w:val="22"/>
          <w:szCs w:val="22"/>
        </w:rPr>
        <w:t>e</w:t>
      </w:r>
      <w:r w:rsidRPr="00072B2C">
        <w:rPr>
          <w:rFonts w:asciiTheme="minorHAnsi" w:hAnsiTheme="minorHAnsi"/>
          <w:color w:val="auto"/>
          <w:sz w:val="22"/>
          <w:szCs w:val="22"/>
        </w:rPr>
        <w:t>s, de même que 57/7</w:t>
      </w:r>
      <w:r w:rsidRPr="00072B2C">
        <w:rPr>
          <w:rFonts w:asciiTheme="minorHAnsi" w:hAnsiTheme="minorHAnsi"/>
          <w:i/>
          <w:color w:val="auto"/>
          <w:sz w:val="22"/>
          <w:szCs w:val="22"/>
        </w:rPr>
        <w:t>ter</w:t>
      </w:r>
      <w:r w:rsidRPr="00072B2C">
        <w:rPr>
          <w:rFonts w:asciiTheme="minorHAnsi" w:hAnsiTheme="minorHAnsi"/>
          <w:color w:val="auto"/>
          <w:sz w:val="22"/>
          <w:szCs w:val="22"/>
        </w:rPr>
        <w:t>, qui concernait les conditions d’application du « bénéfice du doute » sont abrogés et remplacés, respectivement, par les articles 48/7 et 48/6, dont le libellé est identique. A noter toutefois que l’article 48/6 précise d’entrée de jeu que « </w:t>
      </w:r>
      <w:r w:rsidRPr="00072B2C">
        <w:rPr>
          <w:rFonts w:asciiTheme="minorHAnsi" w:hAnsiTheme="minorHAnsi"/>
          <w:i/>
          <w:color w:val="auto"/>
          <w:sz w:val="22"/>
          <w:szCs w:val="22"/>
        </w:rPr>
        <w:t>le demandeur d’asile doit présenter aussi rapidement que possible tous les éléments nécessaires pour étayer sa demande</w:t>
      </w:r>
      <w:r w:rsidRPr="00072B2C">
        <w:rPr>
          <w:rFonts w:asciiTheme="minorHAnsi" w:hAnsiTheme="minorHAnsi"/>
          <w:color w:val="auto"/>
          <w:sz w:val="22"/>
          <w:szCs w:val="22"/>
        </w:rPr>
        <w:t> ».</w:t>
      </w:r>
    </w:p>
    <w:p w:rsidR="0092374F" w:rsidRPr="00072B2C" w:rsidRDefault="0092374F" w:rsidP="00E85CF5">
      <w:pPr>
        <w:pStyle w:val="Default"/>
        <w:rPr>
          <w:rFonts w:asciiTheme="minorHAnsi" w:hAnsiTheme="minorHAnsi"/>
          <w:color w:val="auto"/>
          <w:sz w:val="22"/>
          <w:szCs w:val="22"/>
        </w:rPr>
      </w:pPr>
    </w:p>
    <w:p w:rsidR="006873B5" w:rsidRPr="00072B2C" w:rsidRDefault="006873B5" w:rsidP="0092374F">
      <w:pPr>
        <w:pStyle w:val="Default"/>
        <w:numPr>
          <w:ilvl w:val="0"/>
          <w:numId w:val="10"/>
        </w:numPr>
        <w:rPr>
          <w:rFonts w:asciiTheme="minorHAnsi" w:hAnsiTheme="minorHAnsi"/>
          <w:color w:val="auto"/>
          <w:sz w:val="22"/>
          <w:szCs w:val="22"/>
        </w:rPr>
      </w:pPr>
      <w:r w:rsidRPr="00072B2C">
        <w:rPr>
          <w:rFonts w:asciiTheme="minorHAnsi" w:hAnsiTheme="minorHAnsi"/>
          <w:color w:val="auto"/>
          <w:sz w:val="22"/>
          <w:szCs w:val="22"/>
        </w:rPr>
        <w:t>Le séjour du bénéficiaire de protection subsidiaire</w:t>
      </w:r>
    </w:p>
    <w:p w:rsidR="006873B5" w:rsidRPr="00072B2C" w:rsidRDefault="006873B5" w:rsidP="007D7783">
      <w:pPr>
        <w:pStyle w:val="CM1"/>
        <w:spacing w:before="200" w:after="200" w:line="276" w:lineRule="auto"/>
        <w:rPr>
          <w:rFonts w:asciiTheme="minorHAnsi" w:hAnsiTheme="minorHAnsi" w:cs="EUAlbertina"/>
          <w:color w:val="000000"/>
          <w:sz w:val="22"/>
          <w:szCs w:val="22"/>
        </w:rPr>
      </w:pPr>
      <w:r w:rsidRPr="00072B2C">
        <w:rPr>
          <w:rFonts w:asciiTheme="minorHAnsi" w:hAnsiTheme="minorHAnsi"/>
          <w:sz w:val="22"/>
          <w:szCs w:val="22"/>
        </w:rPr>
        <w:t xml:space="preserve">Conformément à l’article 24.2 de la directive qualification, il est prévu que le bénéficiaire de la protection subsidiaire </w:t>
      </w:r>
      <w:r w:rsidR="008341FB" w:rsidRPr="00072B2C">
        <w:rPr>
          <w:rFonts w:asciiTheme="minorHAnsi" w:hAnsiTheme="minorHAnsi"/>
          <w:sz w:val="22"/>
          <w:szCs w:val="22"/>
        </w:rPr>
        <w:t xml:space="preserve">reçoit </w:t>
      </w:r>
      <w:r w:rsidR="008341FB" w:rsidRPr="00072B2C">
        <w:rPr>
          <w:rFonts w:asciiTheme="minorHAnsi" w:hAnsiTheme="minorHAnsi" w:cs="EUAlbertina"/>
          <w:color w:val="000000"/>
          <w:sz w:val="22"/>
          <w:szCs w:val="22"/>
        </w:rPr>
        <w:t xml:space="preserve">un titre de séjour valable pendant une période d’un an et renouvelable pour une période de deux ans (art. 49/2, §2). Comme auparavant, à l’expiration d’une période de cinq ans à compter à partir de l’introduction de la demande, le bénéficiaire de la </w:t>
      </w:r>
      <w:r w:rsidR="008341FB" w:rsidRPr="00072B2C">
        <w:rPr>
          <w:rFonts w:asciiTheme="minorHAnsi" w:hAnsiTheme="minorHAnsi" w:cs="EUAlbertina"/>
          <w:color w:val="000000"/>
          <w:sz w:val="22"/>
          <w:szCs w:val="22"/>
        </w:rPr>
        <w:lastRenderedPageBreak/>
        <w:t>protection est admis au séjour pour une durée illimitée (art. 49/2, §3, de la loi).</w:t>
      </w:r>
    </w:p>
    <w:p w:rsidR="0056765C" w:rsidRPr="00072B2C" w:rsidRDefault="0056765C" w:rsidP="0056765C">
      <w:pPr>
        <w:pStyle w:val="Default"/>
        <w:rPr>
          <w:rFonts w:asciiTheme="minorHAnsi" w:hAnsiTheme="minorHAnsi"/>
          <w:sz w:val="22"/>
          <w:szCs w:val="22"/>
        </w:rPr>
      </w:pPr>
    </w:p>
    <w:p w:rsidR="00D1258C" w:rsidRPr="00072B2C" w:rsidRDefault="006451E0" w:rsidP="008341FB">
      <w:pPr>
        <w:pStyle w:val="Paragraphedeliste"/>
        <w:numPr>
          <w:ilvl w:val="0"/>
          <w:numId w:val="2"/>
        </w:numPr>
        <w:rPr>
          <w:rFonts w:asciiTheme="minorHAnsi" w:hAnsiTheme="minorHAnsi"/>
          <w:sz w:val="22"/>
          <w:szCs w:val="22"/>
        </w:rPr>
      </w:pPr>
      <w:r w:rsidRPr="00072B2C">
        <w:rPr>
          <w:rFonts w:asciiTheme="minorHAnsi" w:hAnsiTheme="minorHAnsi"/>
          <w:b/>
          <w:sz w:val="22"/>
          <w:szCs w:val="22"/>
        </w:rPr>
        <w:t xml:space="preserve">Réforme </w:t>
      </w:r>
      <w:r w:rsidR="008341FB" w:rsidRPr="00072B2C">
        <w:rPr>
          <w:rFonts w:asciiTheme="minorHAnsi" w:hAnsiTheme="minorHAnsi"/>
          <w:b/>
          <w:sz w:val="22"/>
          <w:szCs w:val="22"/>
        </w:rPr>
        <w:t xml:space="preserve">de la procédure à l’OE et au CGRA </w:t>
      </w:r>
    </w:p>
    <w:p w:rsidR="0056765C" w:rsidRPr="00072B2C" w:rsidRDefault="0056765C" w:rsidP="0056765C">
      <w:pPr>
        <w:pStyle w:val="Paragraphedeliste"/>
        <w:rPr>
          <w:rFonts w:asciiTheme="minorHAnsi" w:hAnsiTheme="minorHAnsi"/>
          <w:sz w:val="22"/>
          <w:szCs w:val="22"/>
        </w:rPr>
      </w:pPr>
    </w:p>
    <w:p w:rsidR="0056765C" w:rsidRPr="00072B2C" w:rsidRDefault="0056765C" w:rsidP="0056765C">
      <w:pPr>
        <w:pStyle w:val="Paragraphedeliste"/>
        <w:numPr>
          <w:ilvl w:val="0"/>
          <w:numId w:val="10"/>
        </w:numPr>
        <w:rPr>
          <w:rFonts w:asciiTheme="minorHAnsi" w:hAnsiTheme="minorHAnsi"/>
          <w:sz w:val="22"/>
          <w:szCs w:val="22"/>
        </w:rPr>
      </w:pPr>
      <w:r w:rsidRPr="00072B2C">
        <w:rPr>
          <w:rFonts w:asciiTheme="minorHAnsi" w:hAnsiTheme="minorHAnsi"/>
          <w:sz w:val="22"/>
          <w:szCs w:val="22"/>
        </w:rPr>
        <w:t>Election de domicile</w:t>
      </w:r>
    </w:p>
    <w:p w:rsidR="0056765C" w:rsidRPr="00072B2C" w:rsidRDefault="0056765C" w:rsidP="0056765C">
      <w:pPr>
        <w:pStyle w:val="Paragraphedeliste"/>
        <w:rPr>
          <w:rFonts w:asciiTheme="minorHAnsi" w:hAnsiTheme="minorHAnsi"/>
          <w:sz w:val="22"/>
          <w:szCs w:val="22"/>
        </w:rPr>
      </w:pPr>
    </w:p>
    <w:p w:rsidR="008341FB" w:rsidRPr="00072B2C" w:rsidRDefault="00D1258C" w:rsidP="008341FB">
      <w:r w:rsidRPr="00072B2C">
        <w:t>La loi prévoit qu’en cas d’élection de domicile chez un conseil, la notification</w:t>
      </w:r>
      <w:r w:rsidR="00506909" w:rsidRPr="00072B2C">
        <w:t xml:space="preserve"> d’une décision mais également l’envoi des convocations et demandes d’information</w:t>
      </w:r>
      <w:r w:rsidRPr="00072B2C">
        <w:t xml:space="preserve"> peu</w:t>
      </w:r>
      <w:r w:rsidR="00506909" w:rsidRPr="00072B2C">
        <w:t>ven</w:t>
      </w:r>
      <w:r w:rsidRPr="00072B2C">
        <w:t>t avoir lieu par télécopieur, ou par tout autre moyen autorisé par arrêté royal</w:t>
      </w:r>
      <w:r w:rsidR="00506909" w:rsidRPr="00072B2C">
        <w:t xml:space="preserve"> (art. 51/2, al. 5 et 6, </w:t>
      </w:r>
      <w:r w:rsidR="000E4319" w:rsidRPr="00072B2C">
        <w:t>art. 57/8, al. 1</w:t>
      </w:r>
      <w:r w:rsidR="000E4319" w:rsidRPr="00072B2C">
        <w:rPr>
          <w:vertAlign w:val="superscript"/>
        </w:rPr>
        <w:t>er</w:t>
      </w:r>
      <w:r w:rsidR="000E4319" w:rsidRPr="00072B2C">
        <w:t xml:space="preserve"> et 2 </w:t>
      </w:r>
      <w:r w:rsidR="00506909" w:rsidRPr="00072B2C">
        <w:t xml:space="preserve">de la loi). </w:t>
      </w:r>
      <w:r w:rsidR="0056765C" w:rsidRPr="00072B2C">
        <w:t>L’objectif est de permettre à terme l’utilisation de procédé de notification informatique.</w:t>
      </w:r>
    </w:p>
    <w:p w:rsidR="0056765C" w:rsidRPr="00072B2C" w:rsidRDefault="0056765C" w:rsidP="0056765C">
      <w:pPr>
        <w:pStyle w:val="Paragraphedeliste"/>
        <w:numPr>
          <w:ilvl w:val="0"/>
          <w:numId w:val="10"/>
        </w:numPr>
        <w:rPr>
          <w:rFonts w:asciiTheme="minorHAnsi" w:hAnsiTheme="minorHAnsi"/>
          <w:sz w:val="22"/>
          <w:szCs w:val="22"/>
        </w:rPr>
      </w:pPr>
      <w:r w:rsidRPr="00072B2C">
        <w:rPr>
          <w:rFonts w:asciiTheme="minorHAnsi" w:hAnsiTheme="minorHAnsi"/>
          <w:sz w:val="22"/>
          <w:szCs w:val="22"/>
        </w:rPr>
        <w:t>Nouvelle demande d’asile</w:t>
      </w:r>
    </w:p>
    <w:p w:rsidR="0056765C" w:rsidRPr="00072B2C" w:rsidRDefault="0056765C" w:rsidP="0056765C">
      <w:pPr>
        <w:pStyle w:val="Paragraphedeliste"/>
        <w:rPr>
          <w:rFonts w:asciiTheme="minorHAnsi" w:hAnsiTheme="minorHAnsi"/>
          <w:sz w:val="22"/>
          <w:szCs w:val="22"/>
        </w:rPr>
      </w:pPr>
    </w:p>
    <w:p w:rsidR="00506909" w:rsidRPr="00072B2C" w:rsidRDefault="00506909" w:rsidP="007D7783">
      <w:r w:rsidRPr="00072B2C">
        <w:t xml:space="preserve">La procédure de prise en considération des éléments nouveaux dans le cadre des demandes multiple est modifiée, dans le sens où l’office des étrangers ne dispose plus d’un pouvoir de décision en la matière.  </w:t>
      </w:r>
    </w:p>
    <w:p w:rsidR="00482977" w:rsidRPr="00072B2C" w:rsidRDefault="00506909" w:rsidP="007D7783">
      <w:pPr>
        <w:autoSpaceDE w:val="0"/>
        <w:autoSpaceDN w:val="0"/>
        <w:adjustRightInd w:val="0"/>
        <w:spacing w:after="0"/>
        <w:rPr>
          <w:rFonts w:eastAsia="Times New Roman" w:cs="Times New Roman"/>
          <w:color w:val="000000"/>
          <w:lang w:eastAsia="fr-BE"/>
        </w:rPr>
      </w:pPr>
      <w:r w:rsidRPr="00072B2C">
        <w:rPr>
          <w:rFonts w:eastAsia="Times New Roman" w:cs="Times New Roman"/>
          <w:color w:val="000000"/>
          <w:lang w:eastAsia="fr-BE"/>
        </w:rPr>
        <w:t xml:space="preserve">Ainsi, l’article 51/8 de la loi, complètement révisé prévoit que si l'étranger introduit une demande d'asile subséquente, le ministre ou son délégué consigne les déclarations du demandeur d'asile concernant les nouveaux éléments qui augmentent de manière significative la probabilité qu'il puisse prétendre à la reconnaissance comme réfugié ou à la protection subsidiaire, ainsi que les raisons pour lesquelles le demandeur d'asile n'a pas pu produire </w:t>
      </w:r>
      <w:r w:rsidRPr="00072B2C">
        <w:rPr>
          <w:rFonts w:eastAsia="Times New Roman" w:cs="Times New Roman"/>
          <w:color w:val="000000"/>
          <w:lang w:eastAsia="fr-BE"/>
        </w:rPr>
        <w:lastRenderedPageBreak/>
        <w:t>ces éléments auparavant. </w:t>
      </w:r>
      <w:r w:rsidRPr="00072B2C">
        <w:rPr>
          <w:rFonts w:eastAsia="Times New Roman" w:cs="Times New Roman"/>
          <w:color w:val="000000"/>
          <w:lang w:eastAsia="fr-BE"/>
        </w:rPr>
        <w:br/>
      </w:r>
    </w:p>
    <w:p w:rsidR="00506909" w:rsidRPr="00072B2C" w:rsidRDefault="00506909" w:rsidP="007D7783">
      <w:pPr>
        <w:autoSpaceDE w:val="0"/>
        <w:autoSpaceDN w:val="0"/>
        <w:adjustRightInd w:val="0"/>
        <w:spacing w:after="0"/>
        <w:rPr>
          <w:rFonts w:eastAsia="Times New Roman" w:cs="Times New Roman"/>
          <w:color w:val="000000"/>
          <w:lang w:eastAsia="fr-BE"/>
        </w:rPr>
      </w:pPr>
      <w:r w:rsidRPr="00072B2C">
        <w:rPr>
          <w:rFonts w:eastAsia="Times New Roman" w:cs="Times New Roman"/>
          <w:color w:val="000000"/>
          <w:lang w:eastAsia="fr-BE"/>
        </w:rPr>
        <w:t xml:space="preserve">Cette déclaration est signée par le demandeur d'asile. S'il refuse de signer, il en est fait mention sur la déclaration, et, le cas échéant, il est également fait mention des raisons pour lesquelles il refuse de signer. </w:t>
      </w:r>
      <w:r w:rsidR="00CC4B7D" w:rsidRPr="00072B2C">
        <w:rPr>
          <w:rFonts w:eastAsia="Times New Roman" w:cs="Times New Roman"/>
          <w:color w:val="000000"/>
          <w:lang w:eastAsia="fr-BE"/>
        </w:rPr>
        <w:t xml:space="preserve">L’audition est donc menée par l’office des étrangers qui rédige une déclaration reprenant </w:t>
      </w:r>
      <w:r w:rsidR="00BA0552" w:rsidRPr="00072B2C">
        <w:rPr>
          <w:rFonts w:eastAsia="Times New Roman" w:cs="Times New Roman"/>
          <w:color w:val="000000"/>
          <w:lang w:eastAsia="fr-BE"/>
        </w:rPr>
        <w:t>les éléments invoqués par le demandeur d'asile et que celui-ci estime être des éléments nouveaux qui augmentent de manière significative la probabilité qu'il puisse prétendre à la reconnaissance comme réfugié ou à la protection subsidiaire, ainsi que les raisons pour lesquelles il n'a pas pu produire ces éléments auparavant</w:t>
      </w:r>
      <w:r w:rsidR="00BA0552" w:rsidRPr="00072B2C">
        <w:rPr>
          <w:rStyle w:val="Appelnotedebasdep"/>
          <w:rFonts w:eastAsia="Times New Roman" w:cs="Times New Roman"/>
          <w:color w:val="000000"/>
          <w:lang w:eastAsia="fr-BE"/>
        </w:rPr>
        <w:footnoteReference w:id="9"/>
      </w:r>
      <w:r w:rsidR="00BA0552" w:rsidRPr="00072B2C">
        <w:rPr>
          <w:rFonts w:eastAsia="Times New Roman" w:cs="Times New Roman"/>
          <w:color w:val="000000"/>
          <w:lang w:eastAsia="fr-BE"/>
        </w:rPr>
        <w:t xml:space="preserve">. </w:t>
      </w:r>
      <w:r w:rsidR="00402527" w:rsidRPr="00072B2C">
        <w:rPr>
          <w:rFonts w:eastAsia="Times New Roman" w:cs="Times New Roman"/>
          <w:color w:val="000000"/>
          <w:lang w:eastAsia="fr-BE"/>
        </w:rPr>
        <w:t>Selon les travaux préparatoires, «</w:t>
      </w:r>
      <w:r w:rsidR="00402527" w:rsidRPr="00072B2C">
        <w:rPr>
          <w:rFonts w:cs="HelveticaLTStd-Roman"/>
          <w:i/>
        </w:rPr>
        <w:t>Lors de la consignation de cette déclaration concernant les nouveaux éléments il doit être tenu compte du questionnaire existant (établi par le Commissaire général aux réfugiés et aux apatrides) prévu à l’article 51/10 et dont le remplissage par le fonctionnaire de l’Office des Étrangers conjointement avec le demandeur d’asile est désormais obligatoire (voir l’article 10 du présent avant-projet). Déclaration et questionnaire doivent former un ensemble afin d’épargner le demandeur d’asile une répétition des mêmes questions et d’éviter des charges administratives supplémentaires</w:t>
      </w:r>
      <w:r w:rsidR="00402527" w:rsidRPr="00072B2C">
        <w:rPr>
          <w:rFonts w:cs="HelveticaLTStd-Roman"/>
        </w:rPr>
        <w:t> »</w:t>
      </w:r>
      <w:r w:rsidR="00402527" w:rsidRPr="00072B2C">
        <w:rPr>
          <w:rStyle w:val="Appelnotedebasdep"/>
          <w:rFonts w:cs="HelveticaLTStd-Roman"/>
        </w:rPr>
        <w:footnoteReference w:id="10"/>
      </w:r>
      <w:r w:rsidR="00402527" w:rsidRPr="00072B2C">
        <w:rPr>
          <w:rFonts w:cs="HelveticaLTStd-Roman"/>
        </w:rPr>
        <w:t>.</w:t>
      </w:r>
      <w:r w:rsidR="000D3045" w:rsidRPr="00072B2C">
        <w:rPr>
          <w:rFonts w:cs="HelveticaLTStd-Roman"/>
        </w:rPr>
        <w:t xml:space="preserve"> A noter que </w:t>
      </w:r>
      <w:r w:rsidR="000D3045" w:rsidRPr="00072B2C">
        <w:rPr>
          <w:rFonts w:eastAsia="Times New Roman" w:cs="Times New Roman"/>
          <w:color w:val="000000"/>
          <w:lang w:eastAsia="fr-BE"/>
        </w:rPr>
        <w:t>l</w:t>
      </w:r>
      <w:r w:rsidR="00BA0552" w:rsidRPr="00072B2C">
        <w:rPr>
          <w:rFonts w:eastAsia="Times New Roman" w:cs="Times New Roman"/>
          <w:color w:val="000000"/>
          <w:lang w:eastAsia="fr-BE"/>
        </w:rPr>
        <w:t>’office des étrangers</w:t>
      </w:r>
      <w:r w:rsidR="00CC4B7D" w:rsidRPr="00072B2C">
        <w:rPr>
          <w:rFonts w:eastAsia="Times New Roman" w:cs="Times New Roman"/>
          <w:color w:val="000000"/>
          <w:lang w:eastAsia="fr-BE"/>
        </w:rPr>
        <w:t xml:space="preserve"> ne dispose d’aucun pouvoir d’appréciation sur le caractère nouveau des éléments </w:t>
      </w:r>
      <w:r w:rsidR="00CC4B7D" w:rsidRPr="00072B2C">
        <w:rPr>
          <w:rFonts w:eastAsia="Times New Roman" w:cs="Times New Roman"/>
          <w:color w:val="000000"/>
          <w:lang w:eastAsia="fr-BE"/>
        </w:rPr>
        <w:lastRenderedPageBreak/>
        <w:t>invoqués</w:t>
      </w:r>
      <w:r w:rsidR="00CC4B7D" w:rsidRPr="00072B2C">
        <w:rPr>
          <w:rStyle w:val="Appelnotedebasdep"/>
          <w:rFonts w:eastAsia="Times New Roman" w:cs="Times New Roman"/>
          <w:color w:val="000000"/>
          <w:lang w:eastAsia="fr-BE"/>
        </w:rPr>
        <w:footnoteReference w:id="11"/>
      </w:r>
      <w:r w:rsidR="00CC4B7D" w:rsidRPr="00072B2C">
        <w:rPr>
          <w:rFonts w:eastAsia="Times New Roman" w:cs="Times New Roman"/>
          <w:color w:val="000000"/>
          <w:lang w:eastAsia="fr-BE"/>
        </w:rPr>
        <w:t>.</w:t>
      </w:r>
      <w:r w:rsidR="00BA0552" w:rsidRPr="00072B2C">
        <w:rPr>
          <w:rFonts w:eastAsia="Times New Roman" w:cs="Times New Roman"/>
          <w:color w:val="000000"/>
          <w:lang w:eastAsia="fr-BE"/>
        </w:rPr>
        <w:t xml:space="preserve"> Cette déclaration est transmise sans délai au Commissaire général aux réfugiés et aux apatrides.</w:t>
      </w:r>
    </w:p>
    <w:p w:rsidR="000D3045" w:rsidRPr="00072B2C" w:rsidRDefault="000D3045" w:rsidP="007D7783">
      <w:pPr>
        <w:autoSpaceDE w:val="0"/>
        <w:autoSpaceDN w:val="0"/>
        <w:adjustRightInd w:val="0"/>
        <w:spacing w:after="0"/>
        <w:rPr>
          <w:rFonts w:eastAsia="Times New Roman" w:cs="Times New Roman"/>
          <w:color w:val="000000"/>
          <w:lang w:eastAsia="fr-BE"/>
        </w:rPr>
      </w:pPr>
    </w:p>
    <w:p w:rsidR="00342ECE" w:rsidRPr="00072B2C" w:rsidRDefault="00072C42" w:rsidP="007D7783">
      <w:pPr>
        <w:autoSpaceDE w:val="0"/>
        <w:autoSpaceDN w:val="0"/>
        <w:adjustRightInd w:val="0"/>
        <w:spacing w:after="0"/>
        <w:rPr>
          <w:rFonts w:eastAsia="Times New Roman" w:cs="Times New Roman"/>
          <w:color w:val="000000"/>
          <w:lang w:eastAsia="fr-BE"/>
        </w:rPr>
      </w:pPr>
      <w:r w:rsidRPr="00072B2C">
        <w:rPr>
          <w:rFonts w:eastAsia="Times New Roman" w:cs="Times New Roman"/>
          <w:color w:val="000000"/>
          <w:lang w:eastAsia="fr-BE"/>
        </w:rPr>
        <w:t>Le nouvel article 57/6/3 prescrit qu’après réception de la demande d'asile sur la base de l'article 51/8, le CGRA examine en priorité si des nouveaux éléments apparaissent, ou sont présentés par le demandeur, qui augmentent de manière significative la probabilité qu'il puisse prétendre à la protection</w:t>
      </w:r>
      <w:r w:rsidR="00A902AB" w:rsidRPr="00072B2C">
        <w:rPr>
          <w:rStyle w:val="Appelnotedebasdep"/>
          <w:rFonts w:eastAsia="Times New Roman" w:cs="Times New Roman"/>
          <w:color w:val="000000"/>
          <w:lang w:eastAsia="fr-BE"/>
        </w:rPr>
        <w:footnoteReference w:id="12"/>
      </w:r>
      <w:r w:rsidRPr="00072B2C">
        <w:rPr>
          <w:rFonts w:eastAsia="Times New Roman" w:cs="Times New Roman"/>
          <w:color w:val="000000"/>
          <w:lang w:eastAsia="fr-BE"/>
        </w:rPr>
        <w:t xml:space="preserve">. En </w:t>
      </w:r>
      <w:r w:rsidRPr="00072B2C">
        <w:rPr>
          <w:rFonts w:eastAsia="Times New Roman" w:cs="Times New Roman"/>
          <w:color w:val="000000"/>
          <w:lang w:eastAsia="fr-BE"/>
        </w:rPr>
        <w:lastRenderedPageBreak/>
        <w:t>l'absence de ces éléments, le Commissaire général aux réfugiés et aux apatrides ne prend pas en considération la demande d'asile. Dans le cas contraire</w:t>
      </w:r>
      <w:r w:rsidRPr="00072B2C">
        <w:rPr>
          <w:rStyle w:val="Appelnotedebasdep"/>
          <w:rFonts w:eastAsia="Times New Roman" w:cs="Times New Roman"/>
          <w:color w:val="000000"/>
          <w:lang w:eastAsia="fr-BE"/>
        </w:rPr>
        <w:footnoteReference w:id="13"/>
      </w:r>
      <w:r w:rsidRPr="00072B2C">
        <w:rPr>
          <w:rFonts w:eastAsia="Times New Roman" w:cs="Times New Roman"/>
          <w:color w:val="000000"/>
          <w:lang w:eastAsia="fr-BE"/>
        </w:rPr>
        <w:t xml:space="preserve">, le Commissaire général aux réfugiés et aux apatrides prend une décision de prise en considération de la demande d'asile. </w:t>
      </w:r>
      <w:r w:rsidR="00342ECE" w:rsidRPr="00072B2C">
        <w:rPr>
          <w:rFonts w:eastAsia="Times New Roman" w:cs="Times New Roman"/>
          <w:color w:val="000000"/>
          <w:lang w:eastAsia="fr-BE"/>
        </w:rPr>
        <w:t xml:space="preserve">Le commentaire article par article précise que </w:t>
      </w:r>
      <w:r w:rsidR="00BE2CE9" w:rsidRPr="00072B2C">
        <w:rPr>
          <w:rFonts w:eastAsia="Times New Roman" w:cs="Times New Roman"/>
          <w:color w:val="000000"/>
          <w:lang w:eastAsia="fr-BE"/>
        </w:rPr>
        <w:t>« </w:t>
      </w:r>
      <w:r w:rsidR="00BE2CE9" w:rsidRPr="00072B2C">
        <w:rPr>
          <w:rFonts w:cs="HelveticaLTStd-Roman"/>
          <w:i/>
        </w:rPr>
        <w:t xml:space="preserve">Dans le cadre d’une nouvelle demande, le demandeur d’asile doit non seulement soumettre tous les nouveaux éléments à l’appui de celle-ci, mais également expliquer pourquoi il n’a pas été en mesure de les invoquer plus tôt. Cette justification est un élément important pour l’évaluation de la demande d’asile par le Commissaire général aux réfugiés et aux apatrides, mais un motif peu solide ne conduit pas </w:t>
      </w:r>
      <w:r w:rsidR="00BE2CE9" w:rsidRPr="00072B2C">
        <w:rPr>
          <w:rFonts w:cs="HelveticaLTStd-Roman"/>
          <w:i/>
        </w:rPr>
        <w:lastRenderedPageBreak/>
        <w:t>nécessairement à une non prise en considération</w:t>
      </w:r>
      <w:r w:rsidR="00BE2CE9" w:rsidRPr="00072B2C">
        <w:rPr>
          <w:rFonts w:cs="HelveticaLTStd-Roman"/>
        </w:rPr>
        <w:t> »</w:t>
      </w:r>
      <w:r w:rsidR="00BE2CE9" w:rsidRPr="00072B2C">
        <w:rPr>
          <w:rStyle w:val="Appelnotedebasdep"/>
          <w:rFonts w:cs="HelveticaLTStd-Roman"/>
        </w:rPr>
        <w:footnoteReference w:id="14"/>
      </w:r>
      <w:r w:rsidR="00BE2CE9" w:rsidRPr="00072B2C">
        <w:rPr>
          <w:rFonts w:cs="HelveticaLTStd-Roman"/>
        </w:rPr>
        <w:t xml:space="preserve">. </w:t>
      </w:r>
      <w:r w:rsidRPr="00072B2C">
        <w:rPr>
          <w:rFonts w:eastAsia="Times New Roman" w:cs="Times New Roman"/>
          <w:color w:val="000000"/>
          <w:lang w:eastAsia="fr-BE"/>
        </w:rPr>
        <w:t xml:space="preserve">La décision doit être prise dans un délai de huit jours ouvrables (soit tous les jours, sauf un samedi, un dimanche ou un jour férié légal) après que le Ministre ou son délégué a transmis la demande d'asile. Si l'étranger est détenu, la décision doit être prise dans un délai de deux jours ouvrables. Il s’agit d’un délai d’ordre. </w:t>
      </w:r>
    </w:p>
    <w:p w:rsidR="00BE2CE9" w:rsidRPr="00072B2C" w:rsidRDefault="00BE2CE9" w:rsidP="00BE2CE9">
      <w:pPr>
        <w:autoSpaceDE w:val="0"/>
        <w:autoSpaceDN w:val="0"/>
        <w:adjustRightInd w:val="0"/>
        <w:spacing w:after="0" w:line="240" w:lineRule="auto"/>
        <w:rPr>
          <w:rFonts w:cs="HelveticaLTStd-Roman"/>
        </w:rPr>
      </w:pPr>
    </w:p>
    <w:p w:rsidR="00C4437F" w:rsidRPr="00072B2C" w:rsidRDefault="00BA0552" w:rsidP="008341FB">
      <w:pPr>
        <w:rPr>
          <w:rFonts w:eastAsia="Times New Roman" w:cs="Times New Roman"/>
          <w:color w:val="000000"/>
          <w:lang w:eastAsia="fr-BE"/>
        </w:rPr>
      </w:pPr>
      <w:r w:rsidRPr="00072B2C">
        <w:rPr>
          <w:rFonts w:eastAsia="Times New Roman" w:cs="Times New Roman"/>
          <w:color w:val="000000"/>
          <w:lang w:eastAsia="fr-BE"/>
        </w:rPr>
        <w:t xml:space="preserve">L’arrêté royal du 11 juillet 2013 </w:t>
      </w:r>
      <w:r w:rsidR="00C4437F" w:rsidRPr="00072B2C">
        <w:rPr>
          <w:rFonts w:eastAsia="Times New Roman" w:cs="Times New Roman"/>
          <w:color w:val="000000"/>
          <w:lang w:eastAsia="fr-BE"/>
        </w:rPr>
        <w:t>fixant</w:t>
      </w:r>
      <w:r w:rsidRPr="00072B2C">
        <w:rPr>
          <w:rFonts w:eastAsia="Times New Roman" w:cs="Times New Roman"/>
          <w:color w:val="000000"/>
          <w:lang w:eastAsia="fr-BE"/>
        </w:rPr>
        <w:t xml:space="preserve"> la procédure devant le CGRA ainsi que son fonctionnement précise que </w:t>
      </w:r>
      <w:r w:rsidR="00C4437F" w:rsidRPr="00072B2C">
        <w:rPr>
          <w:rFonts w:eastAsia="Times New Roman" w:cs="Times New Roman"/>
          <w:color w:val="000000"/>
          <w:lang w:eastAsia="fr-BE"/>
        </w:rPr>
        <w:t xml:space="preserve">le Commissaire général peut renoncer à une audition individuelle du demandeur d'asile lorsqu'il estime qu'il peut prendre une décision sur base d'un examen exhaustif des éléments fournis par le demandeur d'asile au Ministre ou à son délégué. En pratique, il semble que la volonté du CGRA soit de ne jamais </w:t>
      </w:r>
      <w:r w:rsidR="007D7783">
        <w:rPr>
          <w:rFonts w:eastAsia="Times New Roman" w:cs="Times New Roman"/>
          <w:color w:val="000000"/>
          <w:lang w:eastAsia="fr-BE"/>
        </w:rPr>
        <w:t>procéder</w:t>
      </w:r>
      <w:r w:rsidR="00C4437F" w:rsidRPr="00072B2C">
        <w:rPr>
          <w:rFonts w:eastAsia="Times New Roman" w:cs="Times New Roman"/>
          <w:color w:val="000000"/>
          <w:lang w:eastAsia="fr-BE"/>
        </w:rPr>
        <w:t xml:space="preserve"> à l’audition d’un requérant dans le cadre de l’introduction d’une nouvelle demande d’asile</w:t>
      </w:r>
      <w:r w:rsidR="00DA3614" w:rsidRPr="00072B2C">
        <w:rPr>
          <w:rStyle w:val="Appelnotedebasdep"/>
          <w:rFonts w:eastAsia="Times New Roman" w:cs="Times New Roman"/>
          <w:color w:val="000000"/>
          <w:lang w:eastAsia="fr-BE"/>
        </w:rPr>
        <w:footnoteReference w:id="15"/>
      </w:r>
      <w:r w:rsidR="00C4437F" w:rsidRPr="00072B2C">
        <w:rPr>
          <w:rFonts w:eastAsia="Times New Roman" w:cs="Times New Roman"/>
          <w:color w:val="000000"/>
          <w:lang w:eastAsia="fr-BE"/>
        </w:rPr>
        <w:t>. Il aurait travaillé avec l’office des étrangers sur la réalisation d’un formulaire susceptible de recueillir tous les éléments utile</w:t>
      </w:r>
      <w:r w:rsidR="007D7783">
        <w:rPr>
          <w:rFonts w:eastAsia="Times New Roman" w:cs="Times New Roman"/>
          <w:color w:val="000000"/>
          <w:lang w:eastAsia="fr-BE"/>
        </w:rPr>
        <w:t>s</w:t>
      </w:r>
      <w:r w:rsidR="00C4437F" w:rsidRPr="00072B2C">
        <w:rPr>
          <w:rFonts w:eastAsia="Times New Roman" w:cs="Times New Roman"/>
          <w:color w:val="000000"/>
          <w:lang w:eastAsia="fr-BE"/>
        </w:rPr>
        <w:t xml:space="preserve"> à l’examen de la demande</w:t>
      </w:r>
      <w:r w:rsidR="00C4437F" w:rsidRPr="00072B2C">
        <w:rPr>
          <w:rStyle w:val="Appelnotedebasdep"/>
          <w:rFonts w:eastAsia="Times New Roman" w:cs="Times New Roman"/>
          <w:color w:val="000000"/>
          <w:lang w:eastAsia="fr-BE"/>
        </w:rPr>
        <w:footnoteReference w:id="16"/>
      </w:r>
      <w:r w:rsidR="00C4437F" w:rsidRPr="00072B2C">
        <w:rPr>
          <w:rFonts w:eastAsia="Times New Roman" w:cs="Times New Roman"/>
          <w:color w:val="000000"/>
          <w:lang w:eastAsia="fr-BE"/>
        </w:rPr>
        <w:t>.</w:t>
      </w:r>
    </w:p>
    <w:p w:rsidR="001532DC" w:rsidRPr="00072B2C" w:rsidRDefault="001532DC" w:rsidP="007D7783">
      <w:pPr>
        <w:rPr>
          <w:rFonts w:eastAsia="Times New Roman" w:cs="Times New Roman"/>
          <w:color w:val="000000"/>
          <w:lang w:eastAsia="fr-BE"/>
        </w:rPr>
      </w:pPr>
      <w:r w:rsidRPr="00072B2C">
        <w:rPr>
          <w:rFonts w:eastAsia="Times New Roman" w:cs="Times New Roman"/>
          <w:color w:val="000000"/>
          <w:lang w:eastAsia="fr-BE"/>
        </w:rPr>
        <w:t>D’autre part, lorsque l’étranger fait l’objet d’une mesure d’</w:t>
      </w:r>
      <w:r w:rsidR="00345113" w:rsidRPr="00072B2C">
        <w:rPr>
          <w:rFonts w:eastAsia="Times New Roman" w:cs="Times New Roman"/>
          <w:color w:val="000000"/>
          <w:lang w:eastAsia="fr-BE"/>
        </w:rPr>
        <w:t>éloignement o</w:t>
      </w:r>
      <w:r w:rsidRPr="00072B2C">
        <w:rPr>
          <w:rFonts w:eastAsia="Times New Roman" w:cs="Times New Roman"/>
          <w:color w:val="000000"/>
          <w:lang w:eastAsia="fr-BE"/>
        </w:rPr>
        <w:t xml:space="preserve">u de reconduite dont l’exécution est imminente et introduit une nouvelle demande d’asile, l’office des étrangers peut lui demander de rédiger par écrit une déclaration reprenant les nouveaux éléments et les motifs pour lesquels il n’a pas pu les produire </w:t>
      </w:r>
      <w:r w:rsidR="00345113" w:rsidRPr="00072B2C">
        <w:rPr>
          <w:rFonts w:eastAsia="Times New Roman" w:cs="Times New Roman"/>
          <w:color w:val="000000"/>
          <w:lang w:eastAsia="fr-BE"/>
        </w:rPr>
        <w:t>antérieurement</w:t>
      </w:r>
      <w:r w:rsidRPr="00072B2C">
        <w:rPr>
          <w:rFonts w:eastAsia="Times New Roman" w:cs="Times New Roman"/>
          <w:color w:val="000000"/>
          <w:lang w:eastAsia="fr-BE"/>
        </w:rPr>
        <w:t xml:space="preserve">. Dans ce cas, la déclaration écrite tient lieu </w:t>
      </w:r>
      <w:r w:rsidRPr="00072B2C">
        <w:rPr>
          <w:rFonts w:eastAsia="Times New Roman" w:cs="Times New Roman"/>
          <w:color w:val="000000"/>
          <w:lang w:eastAsia="fr-BE"/>
        </w:rPr>
        <w:lastRenderedPageBreak/>
        <w:t>d’audition</w:t>
      </w:r>
      <w:r w:rsidRPr="00072B2C">
        <w:rPr>
          <w:rStyle w:val="Appelnotedebasdep"/>
          <w:rFonts w:eastAsia="Times New Roman" w:cs="Times New Roman"/>
          <w:color w:val="000000"/>
          <w:lang w:eastAsia="fr-BE"/>
        </w:rPr>
        <w:footnoteReference w:id="17"/>
      </w:r>
      <w:r w:rsidR="00345113" w:rsidRPr="00072B2C">
        <w:rPr>
          <w:rFonts w:eastAsia="Times New Roman" w:cs="Times New Roman"/>
          <w:color w:val="000000"/>
          <w:lang w:eastAsia="fr-BE"/>
        </w:rPr>
        <w:t>. Un formulaire-type de déclaration traduit dans les langues les plus courantes est remis au demandeur</w:t>
      </w:r>
      <w:r w:rsidR="00345113" w:rsidRPr="00072B2C">
        <w:rPr>
          <w:rStyle w:val="Appelnotedebasdep"/>
          <w:rFonts w:eastAsia="Times New Roman" w:cs="Times New Roman"/>
          <w:color w:val="000000"/>
          <w:lang w:eastAsia="fr-BE"/>
        </w:rPr>
        <w:footnoteReference w:id="18"/>
      </w:r>
      <w:r w:rsidR="00345113" w:rsidRPr="00072B2C">
        <w:rPr>
          <w:rFonts w:eastAsia="Times New Roman" w:cs="Times New Roman"/>
          <w:color w:val="000000"/>
          <w:lang w:eastAsia="fr-BE"/>
        </w:rPr>
        <w:t>. A soulign</w:t>
      </w:r>
      <w:r w:rsidR="0056765C" w:rsidRPr="00072B2C">
        <w:rPr>
          <w:rFonts w:eastAsia="Times New Roman" w:cs="Times New Roman"/>
          <w:color w:val="000000"/>
          <w:lang w:eastAsia="fr-BE"/>
        </w:rPr>
        <w:t>er</w:t>
      </w:r>
      <w:r w:rsidR="00345113" w:rsidRPr="00072B2C">
        <w:rPr>
          <w:rFonts w:eastAsia="Times New Roman" w:cs="Times New Roman"/>
          <w:color w:val="000000"/>
          <w:lang w:eastAsia="fr-BE"/>
        </w:rPr>
        <w:t xml:space="preserve"> que selon l’article 34, §2, al. 2 de la directive procédure, cette règle ne doit pas mettre le demandeur d’asile dans l’impossibilité d’engager une nouvelle procédure ni leur interdire de facto l’accès à la procédure.</w:t>
      </w:r>
    </w:p>
    <w:p w:rsidR="00342ECE" w:rsidRPr="00072B2C" w:rsidRDefault="00342ECE" w:rsidP="007D7783">
      <w:pPr>
        <w:autoSpaceDE w:val="0"/>
        <w:autoSpaceDN w:val="0"/>
        <w:adjustRightInd w:val="0"/>
        <w:spacing w:after="0"/>
        <w:rPr>
          <w:rFonts w:cs="HelveticaLTStd-Roman"/>
        </w:rPr>
      </w:pPr>
      <w:r w:rsidRPr="00072B2C">
        <w:rPr>
          <w:rFonts w:eastAsia="Times New Roman" w:cs="Times New Roman"/>
          <w:color w:val="000000"/>
          <w:lang w:eastAsia="fr-BE"/>
        </w:rPr>
        <w:t xml:space="preserve">Finalement, </w:t>
      </w:r>
      <w:r w:rsidRPr="00072B2C">
        <w:rPr>
          <w:rFonts w:cs="HelveticaLTStd-Roman"/>
        </w:rPr>
        <w:t>L’alinéa 3 de l’article 58/8 de la loi, qui imitait le recours contre une décision de non prise en considération d’une nouvelle demande au recours annulation  est abrogé, de sorte que le recours en annulation peut dans tous les cas être assorti d’une demande en suspension.</w:t>
      </w:r>
    </w:p>
    <w:p w:rsidR="00342ECE" w:rsidRPr="00072B2C" w:rsidRDefault="00342ECE" w:rsidP="00342ECE">
      <w:pPr>
        <w:autoSpaceDE w:val="0"/>
        <w:autoSpaceDN w:val="0"/>
        <w:adjustRightInd w:val="0"/>
        <w:spacing w:after="0" w:line="240" w:lineRule="auto"/>
        <w:rPr>
          <w:rFonts w:cs="HelveticaLTStd-Roman"/>
        </w:rPr>
      </w:pPr>
      <w:r w:rsidRPr="00072B2C">
        <w:rPr>
          <w:rFonts w:cs="HelveticaLTStd-Roman"/>
        </w:rPr>
        <w:t xml:space="preserve"> </w:t>
      </w:r>
    </w:p>
    <w:p w:rsidR="000465A3" w:rsidRPr="00072B2C" w:rsidRDefault="000465A3" w:rsidP="000465A3">
      <w:pPr>
        <w:pStyle w:val="Paragraphedeliste"/>
        <w:numPr>
          <w:ilvl w:val="0"/>
          <w:numId w:val="11"/>
        </w:numPr>
        <w:autoSpaceDE w:val="0"/>
        <w:autoSpaceDN w:val="0"/>
        <w:adjustRightInd w:val="0"/>
        <w:rPr>
          <w:rFonts w:asciiTheme="minorHAnsi" w:hAnsiTheme="minorHAnsi"/>
          <w:color w:val="000000"/>
          <w:sz w:val="22"/>
          <w:szCs w:val="22"/>
        </w:rPr>
      </w:pPr>
      <w:r w:rsidRPr="00072B2C">
        <w:rPr>
          <w:rFonts w:asciiTheme="minorHAnsi" w:hAnsiTheme="minorHAnsi"/>
          <w:color w:val="000000"/>
          <w:sz w:val="22"/>
          <w:szCs w:val="22"/>
        </w:rPr>
        <w:t>Questionnaire du CGRA</w:t>
      </w:r>
    </w:p>
    <w:p w:rsidR="000465A3" w:rsidRPr="00072B2C" w:rsidRDefault="000465A3" w:rsidP="007D7783">
      <w:pPr>
        <w:autoSpaceDE w:val="0"/>
        <w:autoSpaceDN w:val="0"/>
        <w:adjustRightInd w:val="0"/>
        <w:spacing w:after="0"/>
        <w:rPr>
          <w:rFonts w:eastAsia="Times New Roman" w:cs="Times New Roman"/>
          <w:color w:val="000000"/>
          <w:lang w:eastAsia="fr-BE"/>
        </w:rPr>
      </w:pPr>
    </w:p>
    <w:p w:rsidR="009343B7" w:rsidRPr="00072B2C" w:rsidRDefault="00135E5F" w:rsidP="007D7783">
      <w:pPr>
        <w:autoSpaceDE w:val="0"/>
        <w:autoSpaceDN w:val="0"/>
        <w:adjustRightInd w:val="0"/>
        <w:spacing w:after="0"/>
        <w:rPr>
          <w:rFonts w:cs="HelveticaLTStd-Roman"/>
          <w:i/>
        </w:rPr>
      </w:pPr>
      <w:r w:rsidRPr="00072B2C">
        <w:rPr>
          <w:rFonts w:eastAsia="Times New Roman" w:cs="Times New Roman"/>
          <w:color w:val="000000"/>
          <w:lang w:eastAsia="fr-BE"/>
        </w:rPr>
        <w:t>Désormais, le questionnaire concernant les motifs de la demande d’asile est systématiquement complété à l’office des étrangers (art. 51/10 modifié de la Loi). Il n’est plus possible pour le demandeur d’asile de reprendre le formulaire pour le compléter et le transmettre par la suite au CGRA de son propre chef. Par ailleurs, une copie du questionnaire complété n’est plus remise au demandeur à l’issue de l’audition (art. 16 modifié de l’arrêté royal relatif à la procédure devant l’office des étrangers). Cette mo</w:t>
      </w:r>
      <w:r w:rsidR="006F3CD6" w:rsidRPr="00072B2C">
        <w:rPr>
          <w:rFonts w:eastAsia="Times New Roman" w:cs="Times New Roman"/>
          <w:color w:val="000000"/>
          <w:lang w:eastAsia="fr-BE"/>
        </w:rPr>
        <w:t xml:space="preserve">dification est justifiée par le fait que </w:t>
      </w:r>
      <w:r w:rsidR="009343B7" w:rsidRPr="00072B2C">
        <w:rPr>
          <w:rFonts w:eastAsia="Times New Roman" w:cs="Times New Roman"/>
          <w:color w:val="000000"/>
          <w:lang w:eastAsia="fr-BE"/>
        </w:rPr>
        <w:t>« </w:t>
      </w:r>
      <w:r w:rsidR="009343B7" w:rsidRPr="00072B2C">
        <w:rPr>
          <w:rFonts w:cs="HelveticaLTStd-Roman"/>
          <w:i/>
        </w:rPr>
        <w:t xml:space="preserve">Il s’agit à présent d’une obligation inscrite dans la loi afin d’éviter que d’autres services (p. ex. dans les centres d’accueil) soient chargés de </w:t>
      </w:r>
      <w:r w:rsidR="009343B7" w:rsidRPr="00072B2C">
        <w:rPr>
          <w:rFonts w:cs="HelveticaLTStd-Roman"/>
          <w:i/>
        </w:rPr>
        <w:lastRenderedPageBreak/>
        <w:t>recueillir les réponses au questionnaire alors qu’ils ne disposent pas d’interprètes</w:t>
      </w:r>
    </w:p>
    <w:p w:rsidR="002423D2" w:rsidRPr="00072B2C" w:rsidRDefault="009343B7" w:rsidP="007D7783">
      <w:pPr>
        <w:rPr>
          <w:rFonts w:eastAsia="Times New Roman" w:cs="Times New Roman"/>
          <w:color w:val="000000"/>
          <w:lang w:eastAsia="fr-BE"/>
        </w:rPr>
      </w:pPr>
      <w:r w:rsidRPr="00072B2C">
        <w:rPr>
          <w:rFonts w:cs="HelveticaLTStd-Obl"/>
          <w:i/>
          <w:iCs/>
        </w:rPr>
        <w:t>etc</w:t>
      </w:r>
      <w:r w:rsidRPr="00072B2C">
        <w:rPr>
          <w:rFonts w:cs="HelveticaLTStd-Roman"/>
          <w:i/>
        </w:rPr>
        <w:t>.</w:t>
      </w:r>
      <w:r w:rsidRPr="00072B2C">
        <w:rPr>
          <w:rFonts w:cs="HelveticaLTStd-Roman"/>
        </w:rPr>
        <w:t> »</w:t>
      </w:r>
      <w:r w:rsidRPr="00072B2C">
        <w:rPr>
          <w:rStyle w:val="Appelnotedebasdep"/>
          <w:rFonts w:cs="HelveticaLTStd-Roman"/>
        </w:rPr>
        <w:footnoteReference w:id="19"/>
      </w:r>
      <w:r w:rsidRPr="00072B2C">
        <w:rPr>
          <w:rFonts w:cs="HelveticaLTStd-Roman"/>
        </w:rPr>
        <w:t xml:space="preserve"> et que</w:t>
      </w:r>
      <w:r w:rsidRPr="00072B2C">
        <w:rPr>
          <w:rFonts w:eastAsia="Times New Roman" w:cs="Times New Roman"/>
          <w:color w:val="000000"/>
          <w:lang w:eastAsia="fr-BE"/>
        </w:rPr>
        <w:t xml:space="preserve"> </w:t>
      </w:r>
      <w:r w:rsidR="006F3CD6" w:rsidRPr="00072B2C">
        <w:rPr>
          <w:rFonts w:eastAsia="Times New Roman" w:cs="Times New Roman"/>
          <w:color w:val="000000"/>
          <w:lang w:eastAsia="fr-BE"/>
        </w:rPr>
        <w:t>« </w:t>
      </w:r>
      <w:r w:rsidR="006F3CD6" w:rsidRPr="00072B2C">
        <w:rPr>
          <w:rFonts w:eastAsia="Times New Roman" w:cs="Times New Roman"/>
          <w:i/>
          <w:color w:val="000000"/>
          <w:lang w:eastAsia="fr-BE"/>
        </w:rPr>
        <w:t>Tous les demandeurs d’asile sont désormais traités de la même façon</w:t>
      </w:r>
      <w:r w:rsidR="006F3CD6" w:rsidRPr="00072B2C">
        <w:rPr>
          <w:rFonts w:eastAsia="Times New Roman" w:cs="Times New Roman"/>
          <w:color w:val="000000"/>
          <w:lang w:eastAsia="fr-BE"/>
        </w:rPr>
        <w:t xml:space="preserve"> (remplissage du questionnaire à l’OE). </w:t>
      </w:r>
      <w:r w:rsidR="006F3CD6" w:rsidRPr="00072B2C">
        <w:rPr>
          <w:rFonts w:eastAsia="Times New Roman" w:cs="Times New Roman"/>
          <w:i/>
          <w:color w:val="000000"/>
          <w:lang w:eastAsia="fr-BE"/>
        </w:rPr>
        <w:t>Par conséquent, plus aucune copie du questionnaire complété n’est remise au demandeur d’asile</w:t>
      </w:r>
      <w:r w:rsidR="006F3CD6" w:rsidRPr="00072B2C">
        <w:rPr>
          <w:rFonts w:eastAsia="Times New Roman" w:cs="Times New Roman"/>
          <w:color w:val="000000"/>
          <w:lang w:eastAsia="fr-BE"/>
        </w:rPr>
        <w:t xml:space="preserve"> ». </w:t>
      </w:r>
      <w:r w:rsidR="002423D2" w:rsidRPr="00072B2C">
        <w:rPr>
          <w:rFonts w:eastAsia="Times New Roman" w:cs="Times New Roman"/>
          <w:color w:val="000000"/>
          <w:lang w:eastAsia="fr-BE"/>
        </w:rPr>
        <w:t xml:space="preserve">Il est précisé que </w:t>
      </w:r>
      <w:r w:rsidR="002423D2" w:rsidRPr="00072B2C">
        <w:rPr>
          <w:i/>
        </w:rPr>
        <w:t>« </w:t>
      </w:r>
      <w:r w:rsidR="002423D2" w:rsidRPr="00072B2C">
        <w:rPr>
          <w:rFonts w:cs="HelveticaLTStd-Roman"/>
          <w:i/>
        </w:rPr>
        <w:t>Par la suite, dans un bref délai, le demandeur d’asile a la possibilité de soumettre lui-même ou avec l’assistance d’un avocat une déclaration par écrit avec des éléments supplémentaires, en tenant compte de l’obligation de collaborer et de la charge de la preuve »</w:t>
      </w:r>
      <w:r w:rsidR="006F3CD6" w:rsidRPr="00072B2C">
        <w:rPr>
          <w:rStyle w:val="Appelnotedebasdep"/>
          <w:rFonts w:eastAsia="Times New Roman" w:cs="Times New Roman"/>
          <w:color w:val="000000"/>
          <w:lang w:eastAsia="fr-BE"/>
        </w:rPr>
        <w:footnoteReference w:id="20"/>
      </w:r>
      <w:r w:rsidR="006F3CD6" w:rsidRPr="00072B2C">
        <w:rPr>
          <w:rFonts w:eastAsia="Times New Roman" w:cs="Times New Roman"/>
          <w:color w:val="000000"/>
          <w:lang w:eastAsia="fr-BE"/>
        </w:rPr>
        <w:t xml:space="preserve">. </w:t>
      </w:r>
    </w:p>
    <w:p w:rsidR="00A92FF6" w:rsidRPr="00072B2C" w:rsidRDefault="006F3CD6" w:rsidP="009343B7">
      <w:pPr>
        <w:rPr>
          <w:rFonts w:eastAsia="Times New Roman" w:cs="Times New Roman"/>
          <w:color w:val="000000"/>
          <w:lang w:eastAsia="fr-BE"/>
        </w:rPr>
      </w:pPr>
      <w:r w:rsidRPr="00072B2C">
        <w:rPr>
          <w:rFonts w:eastAsia="Times New Roman" w:cs="Times New Roman"/>
          <w:color w:val="000000"/>
          <w:lang w:eastAsia="fr-BE"/>
        </w:rPr>
        <w:t xml:space="preserve">En fait, l’enjeu de la remise du questionnaire réside dans la possibilité de rectifier certaines données et de permettre pour le demandeur et son conseil, la préparation de l’audition au CGRA. En outre, </w:t>
      </w:r>
      <w:r w:rsidR="00936544" w:rsidRPr="00072B2C">
        <w:rPr>
          <w:rFonts w:eastAsia="Times New Roman" w:cs="Times New Roman"/>
          <w:color w:val="000000"/>
          <w:lang w:eastAsia="fr-BE"/>
        </w:rPr>
        <w:t>cela</w:t>
      </w:r>
      <w:r w:rsidRPr="00072B2C">
        <w:rPr>
          <w:rFonts w:eastAsia="Times New Roman" w:cs="Times New Roman"/>
          <w:color w:val="000000"/>
          <w:lang w:eastAsia="fr-BE"/>
        </w:rPr>
        <w:t xml:space="preserve"> permet de limiter les décisions négatives du CGRA motivées quasi exclusivement sur les contradictions dans les déclarations, sans prise en compte du besoin réel de protection du demandeur. C</w:t>
      </w:r>
      <w:r w:rsidR="000465A3" w:rsidRPr="00072B2C">
        <w:rPr>
          <w:rFonts w:eastAsia="Times New Roman" w:cs="Times New Roman"/>
          <w:color w:val="000000"/>
          <w:lang w:eastAsia="fr-BE"/>
        </w:rPr>
        <w:t xml:space="preserve">’est d’autant plus important que le </w:t>
      </w:r>
      <w:r w:rsidRPr="00072B2C">
        <w:rPr>
          <w:rFonts w:eastAsia="Times New Roman" w:cs="Times New Roman"/>
          <w:color w:val="000000"/>
          <w:lang w:eastAsia="fr-BE"/>
        </w:rPr>
        <w:t>requérant n</w:t>
      </w:r>
      <w:r w:rsidR="000465A3" w:rsidRPr="00072B2C">
        <w:rPr>
          <w:rFonts w:eastAsia="Times New Roman" w:cs="Times New Roman"/>
          <w:color w:val="000000"/>
          <w:lang w:eastAsia="fr-BE"/>
        </w:rPr>
        <w:t xml:space="preserve">e peut </w:t>
      </w:r>
      <w:r w:rsidRPr="00072B2C">
        <w:rPr>
          <w:rFonts w:eastAsia="Times New Roman" w:cs="Times New Roman"/>
          <w:color w:val="000000"/>
          <w:lang w:eastAsia="fr-BE"/>
        </w:rPr>
        <w:t xml:space="preserve">actuellement </w:t>
      </w:r>
      <w:r w:rsidR="000465A3" w:rsidRPr="00072B2C">
        <w:rPr>
          <w:rFonts w:eastAsia="Times New Roman" w:cs="Times New Roman"/>
          <w:color w:val="000000"/>
          <w:lang w:eastAsia="fr-BE"/>
        </w:rPr>
        <w:t xml:space="preserve">être accompagné d’un avocat ou d’une </w:t>
      </w:r>
      <w:r w:rsidRPr="00072B2C">
        <w:rPr>
          <w:rFonts w:eastAsia="Times New Roman" w:cs="Times New Roman"/>
          <w:color w:val="000000"/>
          <w:lang w:eastAsia="fr-BE"/>
        </w:rPr>
        <w:t xml:space="preserve">personne de confiance au cours de l’interview à l’office des étrangers.  </w:t>
      </w:r>
      <w:r w:rsidR="00336699" w:rsidRPr="00072B2C">
        <w:rPr>
          <w:rFonts w:eastAsia="Times New Roman" w:cs="Times New Roman"/>
          <w:color w:val="000000"/>
          <w:lang w:eastAsia="fr-BE"/>
        </w:rPr>
        <w:t xml:space="preserve">L’absence de remise du rapport d’audition à l’OE </w:t>
      </w:r>
      <w:r w:rsidR="00D860E1" w:rsidRPr="00072B2C">
        <w:rPr>
          <w:rFonts w:eastAsia="Times New Roman" w:cs="Times New Roman"/>
          <w:color w:val="000000"/>
          <w:lang w:eastAsia="fr-BE"/>
        </w:rPr>
        <w:t>est</w:t>
      </w:r>
      <w:r w:rsidR="00336699" w:rsidRPr="00072B2C">
        <w:rPr>
          <w:rFonts w:eastAsia="Times New Roman" w:cs="Times New Roman"/>
          <w:color w:val="000000"/>
          <w:lang w:eastAsia="fr-BE"/>
        </w:rPr>
        <w:t xml:space="preserve"> donc </w:t>
      </w:r>
      <w:r w:rsidR="00AB6203" w:rsidRPr="00072B2C">
        <w:rPr>
          <w:rFonts w:eastAsia="Times New Roman" w:cs="Times New Roman"/>
          <w:color w:val="000000"/>
          <w:lang w:eastAsia="fr-BE"/>
        </w:rPr>
        <w:t>problématique à plus d’un titre.</w:t>
      </w:r>
      <w:r w:rsidR="00336699" w:rsidRPr="00072B2C">
        <w:rPr>
          <w:rFonts w:eastAsia="Times New Roman" w:cs="Times New Roman"/>
          <w:color w:val="000000"/>
          <w:lang w:eastAsia="fr-BE"/>
        </w:rPr>
        <w:t xml:space="preserve"> </w:t>
      </w:r>
      <w:r w:rsidR="000465A3" w:rsidRPr="00072B2C">
        <w:rPr>
          <w:rFonts w:eastAsia="Times New Roman" w:cs="Times New Roman"/>
          <w:color w:val="000000"/>
          <w:lang w:eastAsia="fr-BE"/>
        </w:rPr>
        <w:t xml:space="preserve">Le Conseil d’Etat a souligné que qu’en application de l’article 5 de la loi du 11 avril 1994 relative à la publicité de l’administration, tout demandeur d’asile qui </w:t>
      </w:r>
      <w:r w:rsidR="000465A3" w:rsidRPr="00072B2C">
        <w:rPr>
          <w:rFonts w:eastAsia="Times New Roman" w:cs="Times New Roman"/>
          <w:color w:val="000000"/>
          <w:lang w:eastAsia="fr-BE"/>
        </w:rPr>
        <w:lastRenderedPageBreak/>
        <w:t>souhaiterait obtenir copie du questionnaire complété pourra dès lors en faire la demande par écrit à l’Office des étrangers</w:t>
      </w:r>
      <w:r w:rsidR="000465A3" w:rsidRPr="00072B2C">
        <w:rPr>
          <w:rStyle w:val="Appelnotedebasdep"/>
          <w:rFonts w:eastAsia="Times New Roman" w:cs="Times New Roman"/>
          <w:color w:val="000000"/>
          <w:lang w:eastAsia="fr-BE"/>
        </w:rPr>
        <w:footnoteReference w:id="21"/>
      </w:r>
      <w:r w:rsidR="000465A3" w:rsidRPr="00072B2C">
        <w:rPr>
          <w:rFonts w:eastAsia="Times New Roman" w:cs="Times New Roman"/>
          <w:color w:val="000000"/>
          <w:lang w:eastAsia="fr-BE"/>
        </w:rPr>
        <w:t>.</w:t>
      </w:r>
    </w:p>
    <w:p w:rsidR="00403B6C" w:rsidRPr="00072B2C" w:rsidRDefault="00403B6C" w:rsidP="00403B6C">
      <w:pPr>
        <w:pStyle w:val="Paragraphedeliste"/>
        <w:numPr>
          <w:ilvl w:val="0"/>
          <w:numId w:val="12"/>
        </w:numPr>
        <w:rPr>
          <w:rFonts w:asciiTheme="minorHAnsi" w:hAnsiTheme="minorHAnsi"/>
          <w:color w:val="000000"/>
          <w:sz w:val="22"/>
          <w:szCs w:val="22"/>
        </w:rPr>
      </w:pPr>
      <w:r w:rsidRPr="00072B2C">
        <w:rPr>
          <w:rFonts w:asciiTheme="minorHAnsi" w:hAnsiTheme="minorHAnsi"/>
          <w:color w:val="000000"/>
          <w:sz w:val="22"/>
          <w:szCs w:val="22"/>
        </w:rPr>
        <w:t>Délivrance de l’ordre de quitter le territoire</w:t>
      </w:r>
    </w:p>
    <w:p w:rsidR="00403B6C" w:rsidRPr="00072B2C" w:rsidRDefault="00403B6C" w:rsidP="00403B6C">
      <w:pPr>
        <w:pStyle w:val="Paragraphedeliste"/>
        <w:rPr>
          <w:rFonts w:asciiTheme="minorHAnsi" w:hAnsiTheme="minorHAnsi"/>
          <w:color w:val="000000"/>
          <w:sz w:val="22"/>
          <w:szCs w:val="22"/>
        </w:rPr>
      </w:pPr>
    </w:p>
    <w:p w:rsidR="00027A03" w:rsidRPr="00072B2C" w:rsidRDefault="00942702" w:rsidP="008341FB">
      <w:pPr>
        <w:rPr>
          <w:rFonts w:eastAsia="Times New Roman" w:cs="Times New Roman"/>
          <w:color w:val="000000"/>
          <w:lang w:eastAsia="fr-BE"/>
        </w:rPr>
      </w:pPr>
      <w:r w:rsidRPr="00072B2C">
        <w:rPr>
          <w:rFonts w:eastAsia="Times New Roman" w:cs="Times New Roman"/>
          <w:color w:val="000000"/>
          <w:lang w:eastAsia="fr-BE"/>
        </w:rPr>
        <w:t>La nouvelle loi modifie le régime de délivrance des ordres de quitter le territoire faisant suite à un refus d’asile. Auparavant, la personne déboutée au stade du CGRA recevait une annexe 13</w:t>
      </w:r>
      <w:r w:rsidRPr="00072B2C">
        <w:rPr>
          <w:rFonts w:eastAsia="Times New Roman" w:cs="Times New Roman"/>
          <w:i/>
          <w:color w:val="000000"/>
          <w:lang w:eastAsia="fr-BE"/>
        </w:rPr>
        <w:t>quinquies</w:t>
      </w:r>
      <w:r w:rsidRPr="00072B2C">
        <w:rPr>
          <w:rFonts w:eastAsia="Times New Roman" w:cs="Times New Roman"/>
          <w:color w:val="000000"/>
          <w:lang w:eastAsia="fr-BE"/>
        </w:rPr>
        <w:t>, retirée en cas de recours suspensif devant le CCE, puis une nouvelle décision d’ordre de quitter le territoire était notifiée en cas d’échec de cette procédure</w:t>
      </w:r>
      <w:r w:rsidR="00403B6C" w:rsidRPr="00072B2C">
        <w:rPr>
          <w:rFonts w:eastAsia="Times New Roman" w:cs="Times New Roman"/>
          <w:color w:val="000000"/>
          <w:lang w:eastAsia="fr-BE"/>
        </w:rPr>
        <w:t>, qui pouvait être attaquée</w:t>
      </w:r>
      <w:r w:rsidRPr="00072B2C">
        <w:rPr>
          <w:rFonts w:eastAsia="Times New Roman" w:cs="Times New Roman"/>
          <w:color w:val="000000"/>
          <w:lang w:eastAsia="fr-BE"/>
        </w:rPr>
        <w:t xml:space="preserve">. Désormais, </w:t>
      </w:r>
      <w:r w:rsidR="0027058F" w:rsidRPr="00072B2C">
        <w:rPr>
          <w:rFonts w:eastAsia="Times New Roman" w:cs="Times New Roman"/>
          <w:color w:val="000000"/>
          <w:lang w:eastAsia="fr-BE"/>
        </w:rPr>
        <w:t>la loi prévoit la notifica</w:t>
      </w:r>
      <w:r w:rsidR="004E2774" w:rsidRPr="00072B2C">
        <w:rPr>
          <w:rFonts w:eastAsia="Times New Roman" w:cs="Times New Roman"/>
          <w:color w:val="000000"/>
          <w:lang w:eastAsia="fr-BE"/>
        </w:rPr>
        <w:t>tion d’un seul ordre de quitter le territoire</w:t>
      </w:r>
      <w:r w:rsidR="00403B6C" w:rsidRPr="00072B2C">
        <w:rPr>
          <w:rFonts w:eastAsia="Times New Roman" w:cs="Times New Roman"/>
          <w:color w:val="000000"/>
          <w:lang w:eastAsia="fr-BE"/>
        </w:rPr>
        <w:t xml:space="preserve"> dès le stade du rejet au CGRA</w:t>
      </w:r>
      <w:r w:rsidR="004E2774" w:rsidRPr="00072B2C">
        <w:rPr>
          <w:rFonts w:eastAsia="Times New Roman" w:cs="Times New Roman"/>
          <w:color w:val="000000"/>
          <w:lang w:eastAsia="fr-BE"/>
        </w:rPr>
        <w:t>. En effet, après un rejet au CGRA, le ministre ou son délégué doit délivrer sans délai un ordre de quitter le territoire motivé par un des motifs prévus à l'article 7, alinéa 1</w:t>
      </w:r>
      <w:r w:rsidR="004E2774" w:rsidRPr="00072B2C">
        <w:rPr>
          <w:rFonts w:eastAsia="Times New Roman" w:cs="Times New Roman"/>
          <w:color w:val="000000"/>
          <w:vertAlign w:val="superscript"/>
          <w:lang w:eastAsia="fr-BE"/>
        </w:rPr>
        <w:t>er</w:t>
      </w:r>
      <w:r w:rsidR="004E2774" w:rsidRPr="00072B2C">
        <w:rPr>
          <w:rFonts w:eastAsia="Times New Roman" w:cs="Times New Roman"/>
          <w:color w:val="000000"/>
          <w:lang w:eastAsia="fr-BE"/>
        </w:rPr>
        <w:t>, 1° à 12°de la Loi. Cette décision</w:t>
      </w:r>
      <w:r w:rsidRPr="00072B2C">
        <w:rPr>
          <w:rFonts w:eastAsia="Times New Roman" w:cs="Times New Roman"/>
          <w:color w:val="000000"/>
          <w:lang w:eastAsia="fr-BE"/>
        </w:rPr>
        <w:t xml:space="preserve"> est </w:t>
      </w:r>
      <w:r w:rsidR="004E2774" w:rsidRPr="00072B2C">
        <w:rPr>
          <w:rFonts w:eastAsia="Times New Roman" w:cs="Times New Roman"/>
          <w:color w:val="000000"/>
          <w:lang w:eastAsia="fr-BE"/>
        </w:rPr>
        <w:t xml:space="preserve">le cas échéant </w:t>
      </w:r>
      <w:r w:rsidRPr="00072B2C">
        <w:rPr>
          <w:rFonts w:eastAsia="Times New Roman" w:cs="Times New Roman"/>
          <w:color w:val="000000"/>
          <w:lang w:eastAsia="fr-BE"/>
        </w:rPr>
        <w:t>suspendu</w:t>
      </w:r>
      <w:r w:rsidR="004E2774" w:rsidRPr="00072B2C">
        <w:rPr>
          <w:rFonts w:eastAsia="Times New Roman" w:cs="Times New Roman"/>
          <w:color w:val="000000"/>
          <w:lang w:eastAsia="fr-BE"/>
        </w:rPr>
        <w:t>e</w:t>
      </w:r>
      <w:r w:rsidRPr="00072B2C">
        <w:rPr>
          <w:rFonts w:eastAsia="Times New Roman" w:cs="Times New Roman"/>
          <w:color w:val="000000"/>
          <w:lang w:eastAsia="fr-BE"/>
        </w:rPr>
        <w:t xml:space="preserve"> de plein droit par l’introduction du recours devant le CCE (art. 39/70), période durant laquelle l’intéressé se verra remettre </w:t>
      </w:r>
      <w:r w:rsidR="00ED12B9" w:rsidRPr="00072B2C">
        <w:rPr>
          <w:rFonts w:eastAsia="Times New Roman" w:cs="Times New Roman"/>
          <w:color w:val="000000"/>
          <w:lang w:eastAsia="fr-BE"/>
        </w:rPr>
        <w:t>un document de séjour temporaire (annexe 35)</w:t>
      </w:r>
      <w:r w:rsidRPr="00072B2C">
        <w:rPr>
          <w:rFonts w:eastAsia="Times New Roman" w:cs="Times New Roman"/>
          <w:color w:val="000000"/>
          <w:lang w:eastAsia="fr-BE"/>
        </w:rPr>
        <w:t xml:space="preserve"> </w:t>
      </w:r>
      <w:r w:rsidR="00ED12B9" w:rsidRPr="00072B2C">
        <w:rPr>
          <w:rFonts w:eastAsia="Times New Roman" w:cs="Times New Roman"/>
          <w:color w:val="000000"/>
          <w:lang w:eastAsia="fr-BE"/>
        </w:rPr>
        <w:t>qui sera dûment prolongé</w:t>
      </w:r>
      <w:r w:rsidRPr="00072B2C">
        <w:rPr>
          <w:rFonts w:eastAsia="Times New Roman" w:cs="Times New Roman"/>
          <w:color w:val="000000"/>
          <w:lang w:eastAsia="fr-BE"/>
        </w:rPr>
        <w:t xml:space="preserve">. Lorsque le Conseil du Contentieux des Etrangers rejette le recours </w:t>
      </w:r>
      <w:r w:rsidR="004E2774" w:rsidRPr="00072B2C">
        <w:rPr>
          <w:rFonts w:eastAsia="Times New Roman" w:cs="Times New Roman"/>
          <w:color w:val="000000"/>
          <w:lang w:eastAsia="fr-BE"/>
        </w:rPr>
        <w:t>en plein contentieux</w:t>
      </w:r>
      <w:r w:rsidRPr="00072B2C">
        <w:rPr>
          <w:rFonts w:eastAsia="Times New Roman" w:cs="Times New Roman"/>
          <w:color w:val="000000"/>
          <w:lang w:eastAsia="fr-BE"/>
        </w:rPr>
        <w:t xml:space="preserve">, et que l'étranger séjourne de manière irrégulière dans le Royaume, le ministre ou son délégué </w:t>
      </w:r>
      <w:r w:rsidR="004E2774" w:rsidRPr="00072B2C">
        <w:rPr>
          <w:rFonts w:eastAsia="Times New Roman" w:cs="Times New Roman"/>
          <w:color w:val="000000"/>
          <w:lang w:eastAsia="fr-BE"/>
        </w:rPr>
        <w:t>doit</w:t>
      </w:r>
      <w:r w:rsidRPr="00072B2C">
        <w:rPr>
          <w:rFonts w:eastAsia="Times New Roman" w:cs="Times New Roman"/>
          <w:color w:val="000000"/>
          <w:lang w:eastAsia="fr-BE"/>
        </w:rPr>
        <w:t xml:space="preserve"> prolonger </w:t>
      </w:r>
      <w:r w:rsidR="004E2774" w:rsidRPr="00072B2C">
        <w:rPr>
          <w:rFonts w:eastAsia="Times New Roman" w:cs="Times New Roman"/>
          <w:color w:val="000000"/>
          <w:lang w:eastAsia="fr-BE"/>
        </w:rPr>
        <w:t xml:space="preserve">sans délai </w:t>
      </w:r>
      <w:r w:rsidRPr="00072B2C">
        <w:rPr>
          <w:rFonts w:eastAsia="Times New Roman" w:cs="Times New Roman"/>
          <w:color w:val="000000"/>
          <w:lang w:eastAsia="fr-BE"/>
        </w:rPr>
        <w:t>l'ordre de quitter le territoire</w:t>
      </w:r>
      <w:r w:rsidR="004E2774" w:rsidRPr="00072B2C">
        <w:rPr>
          <w:rFonts w:eastAsia="Times New Roman" w:cs="Times New Roman"/>
          <w:color w:val="000000"/>
          <w:lang w:eastAsia="fr-BE"/>
        </w:rPr>
        <w:t xml:space="preserve"> pour une période </w:t>
      </w:r>
      <w:r w:rsidRPr="00072B2C">
        <w:rPr>
          <w:rFonts w:eastAsia="Times New Roman" w:cs="Times New Roman"/>
          <w:color w:val="000000"/>
          <w:lang w:eastAsia="fr-BE"/>
        </w:rPr>
        <w:t>dix jours</w:t>
      </w:r>
      <w:r w:rsidR="004E2774" w:rsidRPr="00072B2C">
        <w:rPr>
          <w:rFonts w:eastAsia="Times New Roman" w:cs="Times New Roman"/>
          <w:color w:val="000000"/>
          <w:lang w:eastAsia="fr-BE"/>
        </w:rPr>
        <w:t xml:space="preserve">. Par la suite, il pourra </w:t>
      </w:r>
      <w:r w:rsidRPr="00072B2C">
        <w:rPr>
          <w:rFonts w:eastAsia="Times New Roman" w:cs="Times New Roman"/>
          <w:color w:val="000000"/>
          <w:lang w:eastAsia="fr-BE"/>
        </w:rPr>
        <w:t xml:space="preserve">être </w:t>
      </w:r>
      <w:r w:rsidRPr="00072B2C">
        <w:rPr>
          <w:rFonts w:eastAsia="Times New Roman" w:cs="Times New Roman"/>
          <w:color w:val="000000"/>
          <w:lang w:eastAsia="fr-BE"/>
        </w:rPr>
        <w:lastRenderedPageBreak/>
        <w:t>prolongé deux fois à condition que l'étranger collabore suffisamment au trajet de retour</w:t>
      </w:r>
      <w:r w:rsidR="004E2774" w:rsidRPr="00072B2C">
        <w:rPr>
          <w:rFonts w:eastAsia="Times New Roman" w:cs="Times New Roman"/>
          <w:color w:val="000000"/>
          <w:lang w:eastAsia="fr-BE"/>
        </w:rPr>
        <w:t xml:space="preserve"> (art. 52.3, de la Loi).</w:t>
      </w:r>
      <w:r w:rsidRPr="00072B2C">
        <w:rPr>
          <w:rFonts w:eastAsia="Times New Roman" w:cs="Times New Roman"/>
          <w:color w:val="000000"/>
          <w:lang w:eastAsia="fr-BE"/>
        </w:rPr>
        <w:t xml:space="preserve"> </w:t>
      </w:r>
    </w:p>
    <w:p w:rsidR="00936544" w:rsidRDefault="00027A03" w:rsidP="00B9697E">
      <w:pPr>
        <w:rPr>
          <w:rFonts w:eastAsia="Times New Roman" w:cs="Times New Roman"/>
          <w:color w:val="000000"/>
          <w:lang w:eastAsia="fr-BE"/>
        </w:rPr>
      </w:pPr>
      <w:r w:rsidRPr="00072B2C">
        <w:rPr>
          <w:rFonts w:eastAsia="Times New Roman" w:cs="Times New Roman"/>
          <w:color w:val="000000"/>
          <w:lang w:eastAsia="fr-BE"/>
        </w:rPr>
        <w:t>La notification automatique</w:t>
      </w:r>
      <w:r w:rsidR="00395AAC" w:rsidRPr="00072B2C">
        <w:rPr>
          <w:rStyle w:val="Appelnotedebasdep"/>
          <w:rFonts w:eastAsia="Times New Roman" w:cs="Times New Roman"/>
          <w:color w:val="000000"/>
          <w:lang w:eastAsia="fr-BE"/>
        </w:rPr>
        <w:footnoteReference w:id="22"/>
      </w:r>
      <w:r w:rsidRPr="00072B2C">
        <w:rPr>
          <w:rFonts w:eastAsia="Times New Roman" w:cs="Times New Roman"/>
          <w:color w:val="000000"/>
          <w:lang w:eastAsia="fr-BE"/>
        </w:rPr>
        <w:t xml:space="preserve"> d’un ordre de quitter le territoire </w:t>
      </w:r>
      <w:r w:rsidR="00C45AAA" w:rsidRPr="00072B2C">
        <w:rPr>
          <w:rFonts w:eastAsia="Times New Roman" w:cs="Times New Roman"/>
          <w:color w:val="000000"/>
          <w:lang w:eastAsia="fr-BE"/>
        </w:rPr>
        <w:t>au stade du CGRA</w:t>
      </w:r>
      <w:r w:rsidR="00936544">
        <w:rPr>
          <w:rFonts w:eastAsia="Times New Roman" w:cs="Times New Roman"/>
          <w:color w:val="000000"/>
          <w:lang w:eastAsia="fr-BE"/>
        </w:rPr>
        <w:t xml:space="preserve"> </w:t>
      </w:r>
      <w:r w:rsidRPr="00072B2C">
        <w:rPr>
          <w:rFonts w:eastAsia="Times New Roman" w:cs="Times New Roman"/>
          <w:color w:val="000000"/>
          <w:lang w:eastAsia="fr-BE"/>
        </w:rPr>
        <w:t xml:space="preserve">pose question dans la mesure où elle intervient avant l’examen complet de la demande d’asile, et que l’office des étrangers </w:t>
      </w:r>
      <w:r w:rsidR="00C45AAA" w:rsidRPr="00072B2C">
        <w:rPr>
          <w:rFonts w:eastAsia="Times New Roman" w:cs="Times New Roman"/>
          <w:color w:val="000000"/>
          <w:lang w:eastAsia="fr-BE"/>
        </w:rPr>
        <w:t>n’aura pas</w:t>
      </w:r>
      <w:r w:rsidRPr="00072B2C">
        <w:rPr>
          <w:rFonts w:eastAsia="Times New Roman" w:cs="Times New Roman"/>
          <w:color w:val="000000"/>
          <w:lang w:eastAsia="fr-BE"/>
        </w:rPr>
        <w:t xml:space="preserve"> appréci</w:t>
      </w:r>
      <w:r w:rsidR="00C45AAA" w:rsidRPr="00072B2C">
        <w:rPr>
          <w:rFonts w:eastAsia="Times New Roman" w:cs="Times New Roman"/>
          <w:color w:val="000000"/>
          <w:lang w:eastAsia="fr-BE"/>
        </w:rPr>
        <w:t xml:space="preserve">é, indépendamment de l’octroi de la protection, </w:t>
      </w:r>
      <w:r w:rsidRPr="00072B2C">
        <w:rPr>
          <w:rFonts w:eastAsia="Times New Roman" w:cs="Times New Roman"/>
          <w:color w:val="000000"/>
          <w:lang w:eastAsia="fr-BE"/>
        </w:rPr>
        <w:t>la conformité de sa décision au regard de l’interdiction de traitement inhumains et dégradants ou du droit à une vie familiale</w:t>
      </w:r>
      <w:r w:rsidR="00C45AAA" w:rsidRPr="00072B2C">
        <w:rPr>
          <w:rFonts w:eastAsia="Times New Roman" w:cs="Times New Roman"/>
          <w:color w:val="000000"/>
          <w:lang w:eastAsia="fr-BE"/>
        </w:rPr>
        <w:t>, par exemple</w:t>
      </w:r>
      <w:r w:rsidRPr="00072B2C">
        <w:rPr>
          <w:rFonts w:eastAsia="Times New Roman" w:cs="Times New Roman"/>
          <w:color w:val="000000"/>
          <w:lang w:eastAsia="fr-BE"/>
        </w:rPr>
        <w:t xml:space="preserve">. </w:t>
      </w:r>
      <w:r w:rsidR="00936544">
        <w:rPr>
          <w:rFonts w:eastAsia="Times New Roman" w:cs="Times New Roman"/>
          <w:color w:val="000000"/>
          <w:lang w:eastAsia="fr-BE"/>
        </w:rPr>
        <w:t xml:space="preserve">Par ailleurs ce caractère automatique n’est pas conforme avec les garanties prévues à l’article 5 de la directive retour. </w:t>
      </w:r>
    </w:p>
    <w:p w:rsidR="0027058F" w:rsidRPr="00072B2C" w:rsidRDefault="0027058F" w:rsidP="00B9697E">
      <w:pPr>
        <w:rPr>
          <w:rFonts w:cs="HelveticaLTStd-Roman"/>
        </w:rPr>
      </w:pPr>
      <w:r w:rsidRPr="00072B2C">
        <w:rPr>
          <w:rFonts w:eastAsia="Times New Roman" w:cs="Times New Roman"/>
          <w:color w:val="000000"/>
          <w:lang w:eastAsia="fr-BE"/>
        </w:rPr>
        <w:t xml:space="preserve">Selon les travaux préparatoires, </w:t>
      </w:r>
      <w:r w:rsidRPr="00072B2C">
        <w:rPr>
          <w:rFonts w:cs="HelveticaLTStd-Roman"/>
        </w:rPr>
        <w:t xml:space="preserve">« </w:t>
      </w:r>
      <w:r w:rsidRPr="00072B2C">
        <w:rPr>
          <w:rFonts w:cs="HelveticaLTStd-Roman"/>
          <w:i/>
        </w:rPr>
        <w:t>en ce qui concerne l’obligation pour le ministre ou son délégué de délivrer un ordre de quitter le territoire sur la base de l’article 52/3, il convient de relever que l’ordre de quitter le territoire ne sera pas exécutable si le retour effectif d’un étranger entraîne une violation des articles 3 et 8 de la CEDH. En aucun cas, l’étranger qui fait l’objet d’une mesure d’éloignement, ne peut être éloigné vers le pays où il sera exposé à une violation du principe de non-refoulement. L’article 3 de la CEDH doit être respecté lors de la mise à exécution d’un ordre de quitter le territoire (arrêt Kastrati de la Cour constitutionnelle n° 141/2006 du 20 septembre 2006)</w:t>
      </w:r>
      <w:r w:rsidRPr="00072B2C">
        <w:rPr>
          <w:rFonts w:cs="HelveticaLTStd-Roman"/>
        </w:rPr>
        <w:t> »</w:t>
      </w:r>
      <w:r w:rsidRPr="00072B2C">
        <w:rPr>
          <w:rStyle w:val="Appelnotedebasdep"/>
          <w:rFonts w:cs="HelveticaLTStd-Roman"/>
        </w:rPr>
        <w:footnoteReference w:id="23"/>
      </w:r>
      <w:r w:rsidRPr="00072B2C">
        <w:rPr>
          <w:rFonts w:cs="HelveticaLTStd-Roman"/>
        </w:rPr>
        <w:t>.</w:t>
      </w:r>
      <w:r w:rsidR="00652ECF" w:rsidRPr="00072B2C">
        <w:rPr>
          <w:rFonts w:cs="HelveticaLTStd-Roman"/>
        </w:rPr>
        <w:t xml:space="preserve"> </w:t>
      </w:r>
      <w:r w:rsidR="00652ECF" w:rsidRPr="00072B2C">
        <w:rPr>
          <w:rFonts w:cs="HelveticaLTStd-Roman"/>
        </w:rPr>
        <w:lastRenderedPageBreak/>
        <w:t xml:space="preserve">Ces déclarations </w:t>
      </w:r>
      <w:r w:rsidR="00964183">
        <w:rPr>
          <w:rFonts w:cs="HelveticaLTStd-Roman"/>
        </w:rPr>
        <w:t xml:space="preserve">de principes </w:t>
      </w:r>
      <w:r w:rsidR="00652ECF" w:rsidRPr="00072B2C">
        <w:rPr>
          <w:rFonts w:cs="HelveticaLTStd-Roman"/>
        </w:rPr>
        <w:t xml:space="preserve">ne garantissent en rien </w:t>
      </w:r>
      <w:r w:rsidR="00964183">
        <w:rPr>
          <w:rFonts w:cs="HelveticaLTStd-Roman"/>
        </w:rPr>
        <w:t>le</w:t>
      </w:r>
      <w:r w:rsidR="00652ECF" w:rsidRPr="00072B2C">
        <w:rPr>
          <w:rFonts w:cs="HelveticaLTStd-Roman"/>
        </w:rPr>
        <w:t xml:space="preserve"> respect des droits fondamentaux  par l’administration</w:t>
      </w:r>
      <w:r w:rsidR="00964183">
        <w:rPr>
          <w:rFonts w:cs="HelveticaLTStd-Roman"/>
        </w:rPr>
        <w:t xml:space="preserve"> en l’absence de voie de recours effectif contre cette mise à exécution</w:t>
      </w:r>
      <w:r w:rsidR="00652ECF" w:rsidRPr="00072B2C">
        <w:rPr>
          <w:rFonts w:cs="HelveticaLTStd-Roman"/>
        </w:rPr>
        <w:t>.</w:t>
      </w:r>
    </w:p>
    <w:p w:rsidR="00C45AAA" w:rsidRPr="00072B2C" w:rsidRDefault="00C45AAA" w:rsidP="008341FB">
      <w:pPr>
        <w:rPr>
          <w:rFonts w:eastAsia="Times New Roman" w:cs="Times New Roman"/>
          <w:color w:val="000000"/>
          <w:lang w:eastAsia="fr-BE"/>
        </w:rPr>
      </w:pPr>
      <w:r w:rsidRPr="00072B2C">
        <w:rPr>
          <w:rFonts w:eastAsia="Times New Roman" w:cs="Times New Roman"/>
          <w:color w:val="000000"/>
          <w:lang w:eastAsia="fr-BE"/>
        </w:rPr>
        <w:t xml:space="preserve">La </w:t>
      </w:r>
      <w:r w:rsidR="00936544">
        <w:rPr>
          <w:rFonts w:eastAsia="Times New Roman" w:cs="Times New Roman"/>
          <w:color w:val="000000"/>
          <w:lang w:eastAsia="fr-BE"/>
        </w:rPr>
        <w:t xml:space="preserve">question se pose </w:t>
      </w:r>
      <w:r w:rsidR="00964183">
        <w:rPr>
          <w:rFonts w:eastAsia="Times New Roman" w:cs="Times New Roman"/>
          <w:color w:val="000000"/>
          <w:lang w:eastAsia="fr-BE"/>
        </w:rPr>
        <w:t xml:space="preserve">en effet </w:t>
      </w:r>
      <w:r w:rsidR="00936544">
        <w:rPr>
          <w:rFonts w:eastAsia="Times New Roman" w:cs="Times New Roman"/>
          <w:color w:val="000000"/>
          <w:lang w:eastAsia="fr-BE"/>
        </w:rPr>
        <w:t xml:space="preserve">de l’effectivité du </w:t>
      </w:r>
      <w:r w:rsidR="00652ECF" w:rsidRPr="00072B2C">
        <w:rPr>
          <w:rFonts w:eastAsia="Times New Roman" w:cs="Times New Roman"/>
          <w:color w:val="000000"/>
          <w:lang w:eastAsia="fr-BE"/>
        </w:rPr>
        <w:t xml:space="preserve">recours </w:t>
      </w:r>
      <w:r w:rsidR="00936544">
        <w:rPr>
          <w:rFonts w:eastAsia="Times New Roman" w:cs="Times New Roman"/>
          <w:color w:val="000000"/>
          <w:lang w:eastAsia="fr-BE"/>
        </w:rPr>
        <w:t xml:space="preserve">en annulation introduit à l’encontre de cet ordre de quitter le territoire </w:t>
      </w:r>
      <w:r w:rsidR="00652ECF" w:rsidRPr="00072B2C">
        <w:rPr>
          <w:rFonts w:eastAsia="Times New Roman" w:cs="Times New Roman"/>
          <w:color w:val="000000"/>
          <w:lang w:eastAsia="fr-BE"/>
        </w:rPr>
        <w:t xml:space="preserve">et </w:t>
      </w:r>
      <w:r w:rsidR="00964183">
        <w:rPr>
          <w:rFonts w:eastAsia="Times New Roman" w:cs="Times New Roman"/>
          <w:color w:val="000000"/>
          <w:lang w:eastAsia="fr-BE"/>
        </w:rPr>
        <w:t>de la possibilité d’attaquer la décision de non prolongation consécutive à un refus du Conseil du contentieux des étrangers</w:t>
      </w:r>
      <w:r w:rsidR="00652ECF" w:rsidRPr="00072B2C">
        <w:rPr>
          <w:rFonts w:eastAsia="Times New Roman" w:cs="Times New Roman"/>
          <w:color w:val="000000"/>
          <w:lang w:eastAsia="fr-BE"/>
        </w:rPr>
        <w:t xml:space="preserve">. </w:t>
      </w:r>
    </w:p>
    <w:p w:rsidR="00652ECF" w:rsidRPr="00072B2C" w:rsidRDefault="00652ECF" w:rsidP="00652ECF">
      <w:pPr>
        <w:pStyle w:val="Paragraphedeliste"/>
        <w:numPr>
          <w:ilvl w:val="0"/>
          <w:numId w:val="12"/>
        </w:numPr>
        <w:rPr>
          <w:rFonts w:asciiTheme="minorHAnsi" w:hAnsiTheme="minorHAnsi"/>
          <w:color w:val="000000"/>
          <w:sz w:val="22"/>
          <w:szCs w:val="22"/>
        </w:rPr>
      </w:pPr>
      <w:r w:rsidRPr="00072B2C">
        <w:rPr>
          <w:rFonts w:asciiTheme="minorHAnsi" w:hAnsiTheme="minorHAnsi"/>
          <w:color w:val="000000"/>
          <w:sz w:val="22"/>
          <w:szCs w:val="22"/>
        </w:rPr>
        <w:t>Nouvelle cause de détention et de procédure prioritaire</w:t>
      </w:r>
    </w:p>
    <w:p w:rsidR="00652ECF" w:rsidRPr="00072B2C" w:rsidRDefault="00652ECF" w:rsidP="00652ECF">
      <w:pPr>
        <w:pStyle w:val="Paragraphedeliste"/>
        <w:rPr>
          <w:rFonts w:asciiTheme="minorHAnsi" w:hAnsiTheme="minorHAnsi"/>
          <w:color w:val="000000"/>
          <w:sz w:val="22"/>
          <w:szCs w:val="22"/>
        </w:rPr>
      </w:pPr>
    </w:p>
    <w:p w:rsidR="00A312B8" w:rsidRPr="00072B2C" w:rsidRDefault="00A312B8" w:rsidP="008341FB">
      <w:pPr>
        <w:rPr>
          <w:rFonts w:eastAsia="Times New Roman" w:cs="Times New Roman"/>
          <w:color w:val="000000"/>
          <w:lang w:eastAsia="fr-BE"/>
        </w:rPr>
      </w:pPr>
      <w:r w:rsidRPr="00072B2C">
        <w:rPr>
          <w:rFonts w:eastAsia="Times New Roman" w:cs="Times New Roman"/>
          <w:color w:val="000000"/>
          <w:lang w:eastAsia="fr-BE"/>
        </w:rPr>
        <w:t>Une nouvelle cause de procédure en détention est ajoutée à l’article 74/6, §1erbis, consistant pour l’étranger à refuser de déposer une déclaration ou de répondre au questionnaire concernant les motifs de sa demande. Par ailleurs, le délai accordé par le CCE pour qu’une partie examine les éléments nouveaux soulevés par une autre partie suspend d’office la durée du maintien</w:t>
      </w:r>
      <w:r w:rsidR="00C44AD3" w:rsidRPr="00072B2C">
        <w:rPr>
          <w:rFonts w:eastAsia="Times New Roman" w:cs="Times New Roman"/>
          <w:color w:val="000000"/>
          <w:lang w:eastAsia="fr-BE"/>
        </w:rPr>
        <w:t>. La mention « </w:t>
      </w:r>
      <w:r w:rsidRPr="00072B2C">
        <w:rPr>
          <w:rFonts w:eastAsia="Times New Roman" w:cs="Times New Roman"/>
          <w:color w:val="000000"/>
          <w:lang w:eastAsia="fr-BE"/>
        </w:rPr>
        <w:t>un mois maximum » prévue dans le texte précédent n’est plus reprise, de sorte qu’aucune limite n’est mise à cette suspension</w:t>
      </w:r>
      <w:r w:rsidR="00B84DEA" w:rsidRPr="00072B2C">
        <w:rPr>
          <w:rFonts w:eastAsia="Times New Roman" w:cs="Times New Roman"/>
          <w:color w:val="000000"/>
          <w:lang w:eastAsia="fr-BE"/>
        </w:rPr>
        <w:t xml:space="preserve"> en terme de durée (74/5, §3, al. 5 et 39/76, §2, al. 5 de la Loi)</w:t>
      </w:r>
      <w:r w:rsidRPr="00072B2C">
        <w:rPr>
          <w:rFonts w:eastAsia="Times New Roman" w:cs="Times New Roman"/>
          <w:color w:val="000000"/>
          <w:lang w:eastAsia="fr-BE"/>
        </w:rPr>
        <w:t xml:space="preserve">. </w:t>
      </w:r>
    </w:p>
    <w:p w:rsidR="00652ECF" w:rsidRPr="00072B2C" w:rsidRDefault="00652ECF" w:rsidP="00652ECF">
      <w:pPr>
        <w:pStyle w:val="Paragraphedeliste"/>
        <w:numPr>
          <w:ilvl w:val="0"/>
          <w:numId w:val="12"/>
        </w:numPr>
        <w:rPr>
          <w:rFonts w:asciiTheme="minorHAnsi" w:hAnsiTheme="minorHAnsi"/>
          <w:color w:val="000000"/>
          <w:sz w:val="22"/>
          <w:szCs w:val="22"/>
        </w:rPr>
      </w:pPr>
      <w:r w:rsidRPr="00072B2C">
        <w:rPr>
          <w:rFonts w:asciiTheme="minorHAnsi" w:hAnsiTheme="minorHAnsi"/>
          <w:color w:val="000000"/>
          <w:sz w:val="22"/>
          <w:szCs w:val="22"/>
        </w:rPr>
        <w:t>Délai d’audition dans le cadre des procédures prioritaires ou accélérées</w:t>
      </w:r>
    </w:p>
    <w:p w:rsidR="00652ECF" w:rsidRPr="00072B2C" w:rsidRDefault="00652ECF" w:rsidP="00652ECF">
      <w:pPr>
        <w:pStyle w:val="Paragraphedeliste"/>
        <w:rPr>
          <w:rFonts w:asciiTheme="minorHAnsi" w:hAnsiTheme="minorHAnsi"/>
          <w:color w:val="000000"/>
          <w:sz w:val="22"/>
          <w:szCs w:val="22"/>
        </w:rPr>
      </w:pPr>
    </w:p>
    <w:p w:rsidR="00C651CA" w:rsidRPr="00072B2C" w:rsidRDefault="00C651CA" w:rsidP="008341FB">
      <w:pPr>
        <w:rPr>
          <w:rFonts w:eastAsia="Times New Roman" w:cs="Times New Roman"/>
          <w:color w:val="000000"/>
          <w:lang w:eastAsia="fr-BE"/>
        </w:rPr>
      </w:pPr>
      <w:r w:rsidRPr="00072B2C">
        <w:rPr>
          <w:rFonts w:eastAsia="Times New Roman" w:cs="Times New Roman"/>
          <w:color w:val="000000"/>
          <w:lang w:eastAsia="fr-BE"/>
        </w:rPr>
        <w:t xml:space="preserve">Les délais de convocation pour audition ainsi que les délais pour les prises de décision du CGRA sont modifiés dans l’arrêté royal du 11 juillet 2003 fixant la </w:t>
      </w:r>
      <w:r w:rsidRPr="00072B2C">
        <w:rPr>
          <w:rFonts w:eastAsia="Times New Roman" w:cs="Times New Roman"/>
          <w:color w:val="000000"/>
          <w:lang w:eastAsia="fr-BE"/>
        </w:rPr>
        <w:lastRenderedPageBreak/>
        <w:t>procédure devant le CGRA</w:t>
      </w:r>
      <w:r w:rsidRPr="00072B2C">
        <w:rPr>
          <w:rStyle w:val="Appelnotedebasdep"/>
          <w:rFonts w:eastAsia="Times New Roman" w:cs="Times New Roman"/>
          <w:color w:val="000000"/>
          <w:lang w:eastAsia="fr-BE"/>
        </w:rPr>
        <w:footnoteReference w:id="24"/>
      </w:r>
      <w:r w:rsidRPr="00072B2C">
        <w:rPr>
          <w:rFonts w:eastAsia="Times New Roman" w:cs="Times New Roman"/>
          <w:color w:val="000000"/>
          <w:lang w:eastAsia="fr-BE"/>
        </w:rPr>
        <w:t xml:space="preserve">. </w:t>
      </w:r>
      <w:r w:rsidR="003D5300" w:rsidRPr="00072B2C">
        <w:rPr>
          <w:rFonts w:eastAsia="Times New Roman" w:cs="Times New Roman"/>
          <w:color w:val="000000"/>
          <w:lang w:eastAsia="fr-BE"/>
        </w:rPr>
        <w:t xml:space="preserve">En synthèse, pour le demandeur d’asile citoyen UE ou membre d’un pays adhérent, originaire d’un pays sûr, ayant introduit une nouvelle demande d’asile, ou ayant obtenu le statut de réfugié dans un autre Etat membre de l’UE, de même </w:t>
      </w:r>
      <w:r w:rsidR="00652ECF" w:rsidRPr="00072B2C">
        <w:rPr>
          <w:rFonts w:eastAsia="Times New Roman" w:cs="Times New Roman"/>
          <w:color w:val="000000"/>
          <w:lang w:eastAsia="fr-BE"/>
        </w:rPr>
        <w:t>q</w:t>
      </w:r>
      <w:r w:rsidR="003D5300" w:rsidRPr="00072B2C">
        <w:rPr>
          <w:rFonts w:eastAsia="Times New Roman" w:cs="Times New Roman"/>
          <w:color w:val="000000"/>
          <w:lang w:eastAsia="fr-BE"/>
        </w:rPr>
        <w:t xml:space="preserve">ue pour les hypothèses visées à l’article 52/2 de la loi, l’audition peut avoir lieu au moins 48 heures après la notification de la convocation. </w:t>
      </w:r>
    </w:p>
    <w:p w:rsidR="00C67DD9" w:rsidRPr="00072B2C" w:rsidRDefault="00C67DD9" w:rsidP="00C67DD9">
      <w:pPr>
        <w:pStyle w:val="Paragraphedeliste"/>
        <w:numPr>
          <w:ilvl w:val="0"/>
          <w:numId w:val="13"/>
        </w:numPr>
        <w:rPr>
          <w:rFonts w:asciiTheme="minorHAnsi" w:hAnsiTheme="minorHAnsi"/>
          <w:color w:val="000000"/>
          <w:sz w:val="22"/>
          <w:szCs w:val="22"/>
        </w:rPr>
      </w:pPr>
      <w:r w:rsidRPr="00072B2C">
        <w:rPr>
          <w:rFonts w:asciiTheme="minorHAnsi" w:hAnsiTheme="minorHAnsi"/>
          <w:color w:val="000000"/>
          <w:sz w:val="22"/>
          <w:szCs w:val="22"/>
        </w:rPr>
        <w:t>Traduction des documents déposés</w:t>
      </w:r>
    </w:p>
    <w:p w:rsidR="00C67DD9" w:rsidRPr="00072B2C" w:rsidRDefault="00C67DD9" w:rsidP="00C67DD9">
      <w:pPr>
        <w:pStyle w:val="Paragraphedeliste"/>
        <w:rPr>
          <w:rFonts w:asciiTheme="minorHAnsi" w:hAnsiTheme="minorHAnsi"/>
          <w:color w:val="000000"/>
          <w:sz w:val="22"/>
          <w:szCs w:val="22"/>
        </w:rPr>
      </w:pPr>
    </w:p>
    <w:p w:rsidR="003D5300" w:rsidRPr="00072B2C" w:rsidRDefault="003D5300" w:rsidP="008341FB">
      <w:pPr>
        <w:rPr>
          <w:rFonts w:eastAsia="Times New Roman" w:cs="Times New Roman"/>
          <w:color w:val="000000"/>
          <w:lang w:eastAsia="fr-BE"/>
        </w:rPr>
      </w:pPr>
      <w:r w:rsidRPr="00072B2C">
        <w:rPr>
          <w:rFonts w:eastAsia="Times New Roman" w:cs="Times New Roman"/>
          <w:color w:val="000000"/>
          <w:lang w:eastAsia="fr-BE"/>
        </w:rPr>
        <w:t xml:space="preserve">Finalement, les documents déposés en langue étrangère doivent être traduits ou </w:t>
      </w:r>
      <w:r w:rsidR="0026151C" w:rsidRPr="00072B2C">
        <w:rPr>
          <w:rFonts w:eastAsia="Times New Roman" w:cs="Times New Roman"/>
          <w:color w:val="000000"/>
          <w:lang w:eastAsia="fr-BE"/>
        </w:rPr>
        <w:t>commentés</w:t>
      </w:r>
      <w:r w:rsidRPr="00072B2C">
        <w:rPr>
          <w:rFonts w:eastAsia="Times New Roman" w:cs="Times New Roman"/>
          <w:color w:val="000000"/>
          <w:lang w:eastAsia="fr-BE"/>
        </w:rPr>
        <w:t xml:space="preserve"> au cours de l’audition avec l’aide de l’interprète. A défaut, le CGRA n’est pas tenu de t</w:t>
      </w:r>
      <w:r w:rsidR="0026151C" w:rsidRPr="00072B2C">
        <w:rPr>
          <w:rFonts w:eastAsia="Times New Roman" w:cs="Times New Roman"/>
          <w:color w:val="000000"/>
          <w:lang w:eastAsia="fr-BE"/>
        </w:rPr>
        <w:t>raduire chaque pièce dans son i</w:t>
      </w:r>
      <w:r w:rsidRPr="00072B2C">
        <w:rPr>
          <w:rFonts w:eastAsia="Times New Roman" w:cs="Times New Roman"/>
          <w:color w:val="000000"/>
          <w:lang w:eastAsia="fr-BE"/>
        </w:rPr>
        <w:t xml:space="preserve">ntégralité. Il </w:t>
      </w:r>
      <w:r w:rsidR="0026151C" w:rsidRPr="00072B2C">
        <w:rPr>
          <w:rFonts w:eastAsia="Times New Roman" w:cs="Times New Roman"/>
          <w:color w:val="000000"/>
          <w:lang w:eastAsia="fr-BE"/>
        </w:rPr>
        <w:t>suffit</w:t>
      </w:r>
      <w:r w:rsidRPr="00072B2C">
        <w:rPr>
          <w:rFonts w:eastAsia="Times New Roman" w:cs="Times New Roman"/>
          <w:color w:val="000000"/>
          <w:lang w:eastAsia="fr-BE"/>
        </w:rPr>
        <w:t xml:space="preserve"> qu’il examine les </w:t>
      </w:r>
      <w:r w:rsidR="0026151C" w:rsidRPr="00072B2C">
        <w:rPr>
          <w:rFonts w:eastAsia="Times New Roman" w:cs="Times New Roman"/>
          <w:color w:val="000000"/>
          <w:lang w:eastAsia="fr-BE"/>
        </w:rPr>
        <w:t>éléments</w:t>
      </w:r>
      <w:r w:rsidRPr="00072B2C">
        <w:rPr>
          <w:rFonts w:eastAsia="Times New Roman" w:cs="Times New Roman"/>
          <w:color w:val="000000"/>
          <w:lang w:eastAsia="fr-BE"/>
        </w:rPr>
        <w:t xml:space="preserve"> pertinents des pièces déposées (art. </w:t>
      </w:r>
      <w:r w:rsidR="0026151C" w:rsidRPr="00072B2C">
        <w:rPr>
          <w:rFonts w:eastAsia="Times New Roman" w:cs="Times New Roman"/>
          <w:color w:val="000000"/>
          <w:lang w:eastAsia="fr-BE"/>
        </w:rPr>
        <w:t>22</w:t>
      </w:r>
      <w:r w:rsidRPr="00072B2C">
        <w:rPr>
          <w:rFonts w:eastAsia="Times New Roman" w:cs="Times New Roman"/>
          <w:color w:val="000000"/>
          <w:lang w:eastAsia="fr-BE"/>
        </w:rPr>
        <w:t xml:space="preserve"> de l’arrêté royal)</w:t>
      </w:r>
    </w:p>
    <w:p w:rsidR="006451E0" w:rsidRPr="00072B2C" w:rsidRDefault="006451E0" w:rsidP="0049095B">
      <w:pPr>
        <w:pStyle w:val="Paragraphedeliste"/>
        <w:numPr>
          <w:ilvl w:val="0"/>
          <w:numId w:val="2"/>
        </w:numPr>
        <w:rPr>
          <w:rFonts w:asciiTheme="minorHAnsi" w:hAnsiTheme="minorHAnsi"/>
          <w:b/>
          <w:sz w:val="22"/>
          <w:szCs w:val="22"/>
        </w:rPr>
      </w:pPr>
      <w:r w:rsidRPr="00072B2C">
        <w:rPr>
          <w:rFonts w:asciiTheme="minorHAnsi" w:hAnsiTheme="minorHAnsi"/>
          <w:b/>
          <w:sz w:val="22"/>
          <w:szCs w:val="22"/>
        </w:rPr>
        <w:t>Réforme au niveau de la procédure contentieuse ou de recours</w:t>
      </w:r>
    </w:p>
    <w:p w:rsidR="006451E0" w:rsidRPr="00072B2C" w:rsidRDefault="006451E0" w:rsidP="0049095B">
      <w:pPr>
        <w:pStyle w:val="Paragraphedeliste"/>
        <w:rPr>
          <w:rFonts w:asciiTheme="minorHAnsi" w:hAnsiTheme="minorHAnsi"/>
          <w:sz w:val="22"/>
          <w:szCs w:val="22"/>
        </w:rPr>
      </w:pPr>
    </w:p>
    <w:p w:rsidR="006451E0" w:rsidRPr="00072B2C" w:rsidRDefault="00D47FE3" w:rsidP="0049095B">
      <w:r w:rsidRPr="00072B2C">
        <w:t>La loi du 8 mai 2013 modifiant la loi du 15 décembre 1980 et la loi du 27 décembre 2006 portant des dispositions diverses (II) est en vigueur également au 1</w:t>
      </w:r>
      <w:r w:rsidRPr="00072B2C">
        <w:rPr>
          <w:vertAlign w:val="superscript"/>
        </w:rPr>
        <w:t>er</w:t>
      </w:r>
      <w:r w:rsidRPr="00072B2C">
        <w:t xml:space="preserve"> septembre 2013</w:t>
      </w:r>
      <w:r w:rsidR="00C67DD9" w:rsidRPr="00072B2C">
        <w:t>, sous réserve des précisions apportées en toute fin de ce texte.</w:t>
      </w:r>
    </w:p>
    <w:p w:rsidR="00C67DD9" w:rsidRPr="00072B2C" w:rsidRDefault="00C67DD9" w:rsidP="00C67DD9">
      <w:pPr>
        <w:pStyle w:val="Paragraphedeliste"/>
        <w:numPr>
          <w:ilvl w:val="0"/>
          <w:numId w:val="13"/>
        </w:numPr>
        <w:rPr>
          <w:rFonts w:asciiTheme="minorHAnsi" w:hAnsiTheme="minorHAnsi"/>
          <w:sz w:val="22"/>
          <w:szCs w:val="22"/>
        </w:rPr>
      </w:pPr>
      <w:r w:rsidRPr="00072B2C">
        <w:rPr>
          <w:rFonts w:asciiTheme="minorHAnsi" w:hAnsiTheme="minorHAnsi"/>
          <w:sz w:val="22"/>
          <w:szCs w:val="22"/>
        </w:rPr>
        <w:t>Dispositions d’ordre organisationnel</w:t>
      </w:r>
    </w:p>
    <w:p w:rsidR="00C67DD9" w:rsidRPr="00072B2C" w:rsidRDefault="00C67DD9" w:rsidP="00C67DD9">
      <w:pPr>
        <w:pStyle w:val="Paragraphedeliste"/>
        <w:rPr>
          <w:rFonts w:asciiTheme="minorHAnsi" w:hAnsiTheme="minorHAnsi"/>
          <w:sz w:val="22"/>
          <w:szCs w:val="22"/>
        </w:rPr>
      </w:pPr>
    </w:p>
    <w:p w:rsidR="002B5543" w:rsidRPr="00072B2C" w:rsidRDefault="00D47FE3" w:rsidP="0049095B">
      <w:r w:rsidRPr="00072B2C">
        <w:lastRenderedPageBreak/>
        <w:t xml:space="preserve">Diverses dispositions d’ordre organisationnel </w:t>
      </w:r>
      <w:r w:rsidR="007A7181" w:rsidRPr="00072B2C">
        <w:t>sont</w:t>
      </w:r>
      <w:r w:rsidRPr="00072B2C">
        <w:t xml:space="preserve"> modifiées. Celles-ci concernent le rapport d’activité (art. 39/3</w:t>
      </w:r>
      <w:r w:rsidR="00B62CAE" w:rsidRPr="00072B2C">
        <w:t xml:space="preserve">, </w:t>
      </w:r>
      <w:r w:rsidR="007A7181" w:rsidRPr="00072B2C">
        <w:t>39/8, al. 3</w:t>
      </w:r>
      <w:r w:rsidR="00B62CAE" w:rsidRPr="00072B2C">
        <w:t xml:space="preserve"> et 39/27</w:t>
      </w:r>
      <w:r w:rsidRPr="00072B2C">
        <w:t xml:space="preserve">), </w:t>
      </w:r>
      <w:r w:rsidR="007A7181" w:rsidRPr="00072B2C">
        <w:t>la possibilité de renvoyer une affaire devant une chambre à trois juges</w:t>
      </w:r>
      <w:r w:rsidR="007A7181" w:rsidRPr="00072B2C">
        <w:rPr>
          <w:rStyle w:val="Appelnotedebasdep"/>
        </w:rPr>
        <w:footnoteReference w:id="25"/>
      </w:r>
      <w:r w:rsidR="007A7181" w:rsidRPr="00072B2C">
        <w:t xml:space="preserve"> (art. 39/6, §3, al. 3 et 39/10) ou en assemblée générale (art. 39/12, al. 1</w:t>
      </w:r>
      <w:r w:rsidR="007A7181" w:rsidRPr="00072B2C">
        <w:rPr>
          <w:vertAlign w:val="superscript"/>
        </w:rPr>
        <w:t>er</w:t>
      </w:r>
      <w:r w:rsidR="007A7181" w:rsidRPr="00072B2C">
        <w:t>) « </w:t>
      </w:r>
      <w:r w:rsidR="007A7181" w:rsidRPr="00072B2C">
        <w:rPr>
          <w:i/>
        </w:rPr>
        <w:t>en vue du développement du droit</w:t>
      </w:r>
      <w:r w:rsidR="007A7181" w:rsidRPr="00072B2C">
        <w:t> ».</w:t>
      </w:r>
      <w:r w:rsidR="00D25F5E" w:rsidRPr="00072B2C">
        <w:t xml:space="preserve"> </w:t>
      </w:r>
    </w:p>
    <w:p w:rsidR="00A82413" w:rsidRPr="00072B2C" w:rsidRDefault="00A82413" w:rsidP="00A82413">
      <w:pPr>
        <w:pStyle w:val="Paragraphedeliste"/>
        <w:numPr>
          <w:ilvl w:val="0"/>
          <w:numId w:val="14"/>
        </w:numPr>
        <w:rPr>
          <w:rFonts w:asciiTheme="minorHAnsi" w:hAnsiTheme="minorHAnsi"/>
          <w:sz w:val="22"/>
          <w:szCs w:val="22"/>
        </w:rPr>
      </w:pPr>
      <w:r w:rsidRPr="00072B2C">
        <w:rPr>
          <w:rFonts w:asciiTheme="minorHAnsi" w:hAnsiTheme="minorHAnsi"/>
          <w:sz w:val="22"/>
          <w:szCs w:val="22"/>
        </w:rPr>
        <w:t>Interprète et langue</w:t>
      </w:r>
    </w:p>
    <w:p w:rsidR="00A82413" w:rsidRPr="00072B2C" w:rsidRDefault="00A82413" w:rsidP="00A82413">
      <w:pPr>
        <w:pStyle w:val="Paragraphedeliste"/>
        <w:rPr>
          <w:rFonts w:asciiTheme="minorHAnsi" w:hAnsiTheme="minorHAnsi"/>
          <w:sz w:val="22"/>
          <w:szCs w:val="22"/>
        </w:rPr>
      </w:pPr>
    </w:p>
    <w:p w:rsidR="00D47FE3" w:rsidRPr="00072B2C" w:rsidRDefault="00D25F5E" w:rsidP="0049095B">
      <w:r w:rsidRPr="00072B2C">
        <w:t xml:space="preserve">L’assistance d’un interprète est supprimée au cas où la partie requérante a indiqué lors de sa demande </w:t>
      </w:r>
      <w:r w:rsidR="005E2309" w:rsidRPr="00072B2C">
        <w:t xml:space="preserve">d’asile </w:t>
      </w:r>
      <w:r w:rsidRPr="00072B2C">
        <w:t xml:space="preserve">ne pas avoir besoin de l’assistance d’un interprète. Dans ce cas, elle devra </w:t>
      </w:r>
      <w:r w:rsidR="005E2309" w:rsidRPr="00072B2C">
        <w:t xml:space="preserve">également </w:t>
      </w:r>
      <w:r w:rsidRPr="00072B2C">
        <w:t>faire ses observations à l’audience dans la langue de la procédure (art. 39/18).</w:t>
      </w:r>
    </w:p>
    <w:p w:rsidR="00A82413" w:rsidRPr="00072B2C" w:rsidRDefault="00A82413" w:rsidP="00A82413">
      <w:pPr>
        <w:pStyle w:val="Paragraphedeliste"/>
        <w:numPr>
          <w:ilvl w:val="0"/>
          <w:numId w:val="14"/>
        </w:numPr>
        <w:rPr>
          <w:rFonts w:asciiTheme="minorHAnsi" w:hAnsiTheme="minorHAnsi"/>
          <w:sz w:val="22"/>
          <w:szCs w:val="22"/>
        </w:rPr>
      </w:pPr>
      <w:r w:rsidRPr="00072B2C">
        <w:rPr>
          <w:rFonts w:asciiTheme="minorHAnsi" w:hAnsiTheme="minorHAnsi"/>
          <w:sz w:val="22"/>
          <w:szCs w:val="22"/>
        </w:rPr>
        <w:t>Délai de recours pour les familles en détention</w:t>
      </w:r>
    </w:p>
    <w:p w:rsidR="00A82413" w:rsidRPr="00072B2C" w:rsidRDefault="00A82413" w:rsidP="00A82413">
      <w:pPr>
        <w:pStyle w:val="Paragraphedeliste"/>
        <w:rPr>
          <w:rFonts w:asciiTheme="minorHAnsi" w:hAnsiTheme="minorHAnsi"/>
          <w:sz w:val="22"/>
          <w:szCs w:val="22"/>
        </w:rPr>
      </w:pPr>
    </w:p>
    <w:p w:rsidR="00B62CAE" w:rsidRPr="00072B2C" w:rsidRDefault="00B62CAE" w:rsidP="0049095B">
      <w:r w:rsidRPr="00072B2C">
        <w:t>Il est précisé que le délai de recours dans l’hypothèse où une famille avec enfant est placée dans un lieu déterminé à titre exceptionnel est, tout comme lorsque le demandeur est détenu, de 15 jours (art. 39/57, §1</w:t>
      </w:r>
      <w:r w:rsidRPr="00072B2C">
        <w:rPr>
          <w:vertAlign w:val="superscript"/>
        </w:rPr>
        <w:t>er</w:t>
      </w:r>
      <w:r w:rsidRPr="00072B2C">
        <w:t>, al. 2).</w:t>
      </w:r>
      <w:r w:rsidR="00F56E8C" w:rsidRPr="00072B2C">
        <w:t xml:space="preserve"> Dans ce dernier cas, la requête peut également être introduite par sa remise sur place au directeur du centre qui délivre un accusé de réception (art. 39/69, § 2).</w:t>
      </w:r>
    </w:p>
    <w:p w:rsidR="00A82413" w:rsidRPr="00072B2C" w:rsidRDefault="00A82413" w:rsidP="00A82413">
      <w:pPr>
        <w:pStyle w:val="Paragraphedeliste"/>
        <w:numPr>
          <w:ilvl w:val="0"/>
          <w:numId w:val="15"/>
        </w:numPr>
        <w:rPr>
          <w:rFonts w:asciiTheme="minorHAnsi" w:hAnsiTheme="minorHAnsi"/>
          <w:sz w:val="22"/>
          <w:szCs w:val="22"/>
        </w:rPr>
      </w:pPr>
      <w:r w:rsidRPr="00072B2C">
        <w:rPr>
          <w:rFonts w:asciiTheme="minorHAnsi" w:hAnsiTheme="minorHAnsi"/>
          <w:sz w:val="22"/>
          <w:szCs w:val="22"/>
        </w:rPr>
        <w:t>Communications par courrier électronique</w:t>
      </w:r>
    </w:p>
    <w:p w:rsidR="00A82413" w:rsidRPr="00072B2C" w:rsidRDefault="00A82413" w:rsidP="00A82413">
      <w:pPr>
        <w:pStyle w:val="Paragraphedeliste"/>
        <w:rPr>
          <w:rFonts w:asciiTheme="minorHAnsi" w:hAnsiTheme="minorHAnsi"/>
          <w:sz w:val="22"/>
          <w:szCs w:val="22"/>
        </w:rPr>
      </w:pPr>
    </w:p>
    <w:p w:rsidR="00B62CAE" w:rsidRPr="00072B2C" w:rsidRDefault="00B62CAE" w:rsidP="0049095B">
      <w:r w:rsidRPr="00072B2C">
        <w:lastRenderedPageBreak/>
        <w:t xml:space="preserve">En ce qui concerne les envois, pour autant qu’il ne s’agisse pas d’une convocation, ils </w:t>
      </w:r>
      <w:r w:rsidR="008E05B4" w:rsidRPr="00072B2C">
        <w:t>pourront</w:t>
      </w:r>
      <w:r w:rsidRPr="00072B2C">
        <w:t xml:space="preserve"> </w:t>
      </w:r>
      <w:r w:rsidR="008E05B4" w:rsidRPr="00072B2C">
        <w:t>également</w:t>
      </w:r>
      <w:r w:rsidRPr="00072B2C">
        <w:t xml:space="preserve"> avoir lieu via courrier </w:t>
      </w:r>
      <w:r w:rsidR="008E05B4" w:rsidRPr="00072B2C">
        <w:t>électronique</w:t>
      </w:r>
      <w:r w:rsidRPr="00072B2C">
        <w:t xml:space="preserve"> à l’adresse utilisée par l’avocat </w:t>
      </w:r>
      <w:r w:rsidR="008E05B4" w:rsidRPr="00072B2C">
        <w:t xml:space="preserve">pour l’envoi des copies du recours, à condition qu’il y ait eu élection de domicile chez l’avocat (art. 39/57-1, al. 2) </w:t>
      </w:r>
      <w:r w:rsidR="00B67799" w:rsidRPr="00072B2C">
        <w:t xml:space="preserve">et sauf si l’avocat indique une autre adresse électronique à cet effet. De même, le Conseil pourra porter la requête à la connaissance du ministre via son adresse électronique (art. 39/57-1, al. 4). </w:t>
      </w:r>
    </w:p>
    <w:p w:rsidR="00A82413" w:rsidRPr="00072B2C" w:rsidRDefault="00A82413" w:rsidP="00A82413">
      <w:pPr>
        <w:pStyle w:val="Paragraphedeliste"/>
        <w:numPr>
          <w:ilvl w:val="0"/>
          <w:numId w:val="16"/>
        </w:numPr>
        <w:autoSpaceDE w:val="0"/>
        <w:autoSpaceDN w:val="0"/>
        <w:adjustRightInd w:val="0"/>
        <w:rPr>
          <w:rFonts w:asciiTheme="minorHAnsi" w:hAnsiTheme="minorHAnsi"/>
          <w:color w:val="000000"/>
          <w:sz w:val="22"/>
          <w:szCs w:val="22"/>
        </w:rPr>
      </w:pPr>
      <w:r w:rsidRPr="00072B2C">
        <w:rPr>
          <w:rFonts w:asciiTheme="minorHAnsi" w:hAnsiTheme="minorHAnsi"/>
          <w:color w:val="000000"/>
          <w:sz w:val="22"/>
          <w:szCs w:val="22"/>
        </w:rPr>
        <w:t>Election de domicile</w:t>
      </w:r>
    </w:p>
    <w:p w:rsidR="00A82413" w:rsidRPr="00072B2C" w:rsidRDefault="00A82413" w:rsidP="007D7783">
      <w:pPr>
        <w:autoSpaceDE w:val="0"/>
        <w:autoSpaceDN w:val="0"/>
        <w:adjustRightInd w:val="0"/>
        <w:spacing w:after="0"/>
        <w:rPr>
          <w:rFonts w:eastAsia="Times New Roman" w:cs="Times New Roman"/>
          <w:color w:val="000000"/>
          <w:lang w:eastAsia="fr-BE"/>
        </w:rPr>
      </w:pPr>
    </w:p>
    <w:p w:rsidR="002B5543" w:rsidRPr="00072B2C" w:rsidRDefault="003F7F2E" w:rsidP="007D7783">
      <w:pPr>
        <w:autoSpaceDE w:val="0"/>
        <w:autoSpaceDN w:val="0"/>
        <w:adjustRightInd w:val="0"/>
        <w:spacing w:after="0"/>
        <w:rPr>
          <w:rFonts w:cs="HelveticaLTStd-Roman"/>
        </w:rPr>
      </w:pPr>
      <w:r w:rsidRPr="00072B2C">
        <w:rPr>
          <w:rFonts w:eastAsia="Times New Roman" w:cs="Times New Roman"/>
          <w:color w:val="000000"/>
          <w:lang w:eastAsia="fr-BE"/>
        </w:rPr>
        <w:t>La disposition relative à l’obligation d’élection de domicile est modifiée. A l'exception des autorités administratives belges, toute partie à une procédure élit domicile en Belgique dans le premier acte de procédure qu'elle accomplit, sans préjudice de l'article 39/69, § 1</w:t>
      </w:r>
      <w:r w:rsidRPr="00072B2C">
        <w:rPr>
          <w:rFonts w:eastAsia="Times New Roman" w:cs="Times New Roman"/>
          <w:color w:val="000000"/>
          <w:vertAlign w:val="superscript"/>
          <w:lang w:eastAsia="fr-BE"/>
        </w:rPr>
        <w:t>er</w:t>
      </w:r>
      <w:r w:rsidRPr="00072B2C">
        <w:rPr>
          <w:rFonts w:eastAsia="Times New Roman" w:cs="Times New Roman"/>
          <w:color w:val="000000"/>
          <w:lang w:eastAsia="fr-BE"/>
        </w:rPr>
        <w:t>, alinéa 7</w:t>
      </w:r>
      <w:r w:rsidR="004E294B" w:rsidRPr="00072B2C">
        <w:rPr>
          <w:rFonts w:eastAsia="Times New Roman" w:cs="Times New Roman"/>
          <w:color w:val="000000"/>
          <w:lang w:eastAsia="fr-BE"/>
        </w:rPr>
        <w:t xml:space="preserve"> qui prévoit, à titre subsidiaire, la prise en compte de la première adresse mentionnée dans la requête</w:t>
      </w:r>
      <w:r w:rsidRPr="00072B2C">
        <w:rPr>
          <w:rFonts w:eastAsia="Times New Roman" w:cs="Times New Roman"/>
          <w:color w:val="000000"/>
          <w:lang w:eastAsia="fr-BE"/>
        </w:rPr>
        <w:t xml:space="preserve">. </w:t>
      </w:r>
      <w:r w:rsidR="00E32FAD" w:rsidRPr="00072B2C">
        <w:rPr>
          <w:rFonts w:eastAsia="Times New Roman" w:cs="Times New Roman"/>
          <w:color w:val="000000"/>
          <w:lang w:eastAsia="fr-BE"/>
        </w:rPr>
        <w:t>Ainsi, l</w:t>
      </w:r>
      <w:r w:rsidR="00E32FAD" w:rsidRPr="00072B2C">
        <w:rPr>
          <w:rFonts w:cs="HelveticaLTStd-Roman"/>
        </w:rPr>
        <w:t>a première adresse en Belgique mentionnée dans la requête est censée être l’adresse du domicile élu, sauf dans le cas où la partie requérante indique expressément qu’elle élit domicile à une autre adresse.</w:t>
      </w:r>
      <w:r w:rsidR="00E32FAD" w:rsidRPr="00072B2C">
        <w:rPr>
          <w:rFonts w:eastAsia="Times New Roman" w:cs="Times New Roman"/>
          <w:color w:val="000000"/>
          <w:lang w:eastAsia="fr-BE"/>
        </w:rPr>
        <w:t xml:space="preserve"> </w:t>
      </w:r>
      <w:r w:rsidRPr="00072B2C">
        <w:rPr>
          <w:rFonts w:eastAsia="Times New Roman" w:cs="Times New Roman"/>
          <w:color w:val="000000"/>
          <w:lang w:eastAsia="fr-BE"/>
        </w:rPr>
        <w:t xml:space="preserve">Cette élection de domicile vaut pour tout acte de procédure subséquent. Toute modification de domicile élu doit être expressément formulée et communiquée séparément pour chaque recours par envoi recommandé au greffier en chef, en indiquant la référence complète du numéro de rôle du recours concerné par la modification (art. 39/58). Rappelons que l’absence d’élection de domicile est un motif de nullité de la requête pouvant être régularisé dans les huit jours de l’invitation du greffe </w:t>
      </w:r>
      <w:r w:rsidR="00020E77" w:rsidRPr="00072B2C">
        <w:rPr>
          <w:rFonts w:eastAsia="Times New Roman" w:cs="Times New Roman"/>
          <w:color w:val="000000"/>
          <w:lang w:eastAsia="fr-BE"/>
        </w:rPr>
        <w:t>de</w:t>
      </w:r>
      <w:r w:rsidRPr="00072B2C">
        <w:rPr>
          <w:rFonts w:eastAsia="Times New Roman" w:cs="Times New Roman"/>
          <w:color w:val="000000"/>
          <w:lang w:eastAsia="fr-BE"/>
        </w:rPr>
        <w:t xml:space="preserve"> ce faire (art. 39/69, §1</w:t>
      </w:r>
      <w:r w:rsidRPr="00072B2C">
        <w:rPr>
          <w:rFonts w:eastAsia="Times New Roman" w:cs="Times New Roman"/>
          <w:color w:val="000000"/>
          <w:vertAlign w:val="superscript"/>
          <w:lang w:eastAsia="fr-BE"/>
        </w:rPr>
        <w:t>er</w:t>
      </w:r>
      <w:r w:rsidR="00020E77" w:rsidRPr="00072B2C">
        <w:rPr>
          <w:rFonts w:eastAsia="Times New Roman" w:cs="Times New Roman"/>
          <w:color w:val="000000"/>
          <w:lang w:eastAsia="fr-BE"/>
        </w:rPr>
        <w:t>).</w:t>
      </w:r>
    </w:p>
    <w:p w:rsidR="002B5543" w:rsidRPr="00072B2C" w:rsidRDefault="002B5543" w:rsidP="007D7783">
      <w:pPr>
        <w:rPr>
          <w:rFonts w:eastAsia="Times New Roman" w:cs="Times New Roman"/>
          <w:color w:val="000000"/>
          <w:lang w:eastAsia="fr-BE"/>
        </w:rPr>
      </w:pPr>
      <w:r w:rsidRPr="00072B2C">
        <w:rPr>
          <w:rFonts w:eastAsia="Times New Roman" w:cs="Times New Roman"/>
          <w:color w:val="000000"/>
          <w:lang w:eastAsia="fr-BE"/>
        </w:rPr>
        <w:lastRenderedPageBreak/>
        <w:t>U</w:t>
      </w:r>
      <w:r w:rsidR="004E294B" w:rsidRPr="00072B2C">
        <w:rPr>
          <w:rFonts w:eastAsia="Times New Roman" w:cs="Times New Roman"/>
          <w:color w:val="000000"/>
          <w:lang w:eastAsia="fr-BE"/>
        </w:rPr>
        <w:t>n nouvel article 39/68-2 règle la question de l’introduction de plusieurs recours contre une même décision, et celle des recours collectifs.</w:t>
      </w:r>
    </w:p>
    <w:p w:rsidR="00A82413" w:rsidRPr="00072B2C" w:rsidRDefault="00A82413" w:rsidP="00A82413">
      <w:pPr>
        <w:pStyle w:val="Paragraphedeliste"/>
        <w:numPr>
          <w:ilvl w:val="0"/>
          <w:numId w:val="17"/>
        </w:numPr>
        <w:rPr>
          <w:rFonts w:asciiTheme="minorHAnsi" w:hAnsiTheme="minorHAnsi"/>
          <w:color w:val="000000"/>
          <w:sz w:val="22"/>
          <w:szCs w:val="22"/>
        </w:rPr>
      </w:pPr>
      <w:r w:rsidRPr="00072B2C">
        <w:rPr>
          <w:rFonts w:asciiTheme="minorHAnsi" w:hAnsiTheme="minorHAnsi"/>
          <w:color w:val="000000"/>
          <w:sz w:val="22"/>
          <w:szCs w:val="22"/>
        </w:rPr>
        <w:t>Nombre de copies</w:t>
      </w:r>
    </w:p>
    <w:p w:rsidR="00A82413" w:rsidRPr="00072B2C" w:rsidRDefault="00A82413" w:rsidP="00A82413">
      <w:pPr>
        <w:pStyle w:val="Paragraphedeliste"/>
        <w:rPr>
          <w:rFonts w:asciiTheme="minorHAnsi" w:hAnsiTheme="minorHAnsi"/>
          <w:color w:val="000000"/>
          <w:sz w:val="22"/>
          <w:szCs w:val="22"/>
        </w:rPr>
      </w:pPr>
    </w:p>
    <w:p w:rsidR="00F56E8C" w:rsidRPr="00072B2C" w:rsidRDefault="00F56E8C" w:rsidP="0049095B">
      <w:pPr>
        <w:rPr>
          <w:rFonts w:eastAsia="Times New Roman" w:cs="Times New Roman"/>
          <w:color w:val="000000"/>
          <w:lang w:eastAsia="fr-BE"/>
        </w:rPr>
      </w:pPr>
      <w:r w:rsidRPr="00072B2C">
        <w:rPr>
          <w:rFonts w:eastAsia="Times New Roman" w:cs="Times New Roman"/>
          <w:color w:val="000000"/>
          <w:lang w:eastAsia="fr-BE"/>
        </w:rPr>
        <w:t>A noter également que les recours ne doivent plus être accompagnés que de 4 copies, contre 6 précédemment.</w:t>
      </w:r>
    </w:p>
    <w:p w:rsidR="00A82413" w:rsidRPr="00072B2C" w:rsidRDefault="00A82413" w:rsidP="00A82413">
      <w:pPr>
        <w:pStyle w:val="Paragraphedeliste"/>
        <w:numPr>
          <w:ilvl w:val="0"/>
          <w:numId w:val="18"/>
        </w:numPr>
        <w:rPr>
          <w:rFonts w:asciiTheme="minorHAnsi" w:hAnsiTheme="minorHAnsi"/>
          <w:color w:val="000000"/>
          <w:sz w:val="22"/>
          <w:szCs w:val="22"/>
        </w:rPr>
      </w:pPr>
      <w:r w:rsidRPr="00072B2C">
        <w:rPr>
          <w:rFonts w:asciiTheme="minorHAnsi" w:hAnsiTheme="minorHAnsi"/>
          <w:color w:val="000000"/>
          <w:sz w:val="22"/>
          <w:szCs w:val="22"/>
        </w:rPr>
        <w:t>Dossier administratif et observations</w:t>
      </w:r>
    </w:p>
    <w:p w:rsidR="00A82413" w:rsidRPr="00072B2C" w:rsidRDefault="00A82413" w:rsidP="00A82413">
      <w:pPr>
        <w:pStyle w:val="Paragraphedeliste"/>
        <w:rPr>
          <w:rFonts w:asciiTheme="minorHAnsi" w:hAnsiTheme="minorHAnsi"/>
          <w:color w:val="000000"/>
          <w:sz w:val="22"/>
          <w:szCs w:val="22"/>
        </w:rPr>
      </w:pPr>
    </w:p>
    <w:p w:rsidR="00C60608" w:rsidRPr="00072B2C" w:rsidRDefault="00C60608" w:rsidP="0049095B">
      <w:pPr>
        <w:rPr>
          <w:rFonts w:eastAsia="Times New Roman" w:cs="Times New Roman"/>
          <w:color w:val="000000"/>
          <w:lang w:eastAsia="fr-BE"/>
        </w:rPr>
      </w:pPr>
      <w:r w:rsidRPr="00072B2C">
        <w:rPr>
          <w:rFonts w:eastAsia="Times New Roman" w:cs="Times New Roman"/>
          <w:color w:val="000000"/>
          <w:lang w:eastAsia="fr-BE"/>
        </w:rPr>
        <w:t>La transmission par la partie adverse du dossier administratif est accélérée, puisqu’elle devra avoir lieu dans un délai de 8 jours contre 15 auparavant. De même, la note d’observation devra être jointe au plus tard avec le dossier, sauf si la partie adverse informe le greffe avant l'expiration du délai de huit jours précité, qu'elle communiquera cette note dans les quinze jours sui</w:t>
      </w:r>
      <w:r w:rsidR="00E16DAB" w:rsidRPr="00072B2C">
        <w:rPr>
          <w:rFonts w:eastAsia="Times New Roman" w:cs="Times New Roman"/>
          <w:color w:val="000000"/>
          <w:lang w:eastAsia="fr-BE"/>
        </w:rPr>
        <w:t>vant la notification du recours (art. 39/72, §1</w:t>
      </w:r>
      <w:r w:rsidR="00E16DAB" w:rsidRPr="00072B2C">
        <w:rPr>
          <w:rFonts w:eastAsia="Times New Roman" w:cs="Times New Roman"/>
          <w:color w:val="000000"/>
          <w:vertAlign w:val="superscript"/>
          <w:lang w:eastAsia="fr-BE"/>
        </w:rPr>
        <w:t>er</w:t>
      </w:r>
      <w:r w:rsidR="00E16DAB" w:rsidRPr="00072B2C">
        <w:rPr>
          <w:rFonts w:eastAsia="Times New Roman" w:cs="Times New Roman"/>
          <w:color w:val="000000"/>
          <w:lang w:eastAsia="fr-BE"/>
        </w:rPr>
        <w:t>).</w:t>
      </w:r>
    </w:p>
    <w:p w:rsidR="00A82413" w:rsidRPr="00072B2C" w:rsidRDefault="00A82413" w:rsidP="00A82413">
      <w:pPr>
        <w:pStyle w:val="Paragraphedeliste"/>
        <w:numPr>
          <w:ilvl w:val="0"/>
          <w:numId w:val="18"/>
        </w:numPr>
        <w:rPr>
          <w:rFonts w:asciiTheme="minorHAnsi" w:hAnsiTheme="minorHAnsi"/>
          <w:color w:val="000000"/>
          <w:sz w:val="22"/>
          <w:szCs w:val="22"/>
        </w:rPr>
      </w:pPr>
      <w:r w:rsidRPr="00072B2C">
        <w:rPr>
          <w:rFonts w:asciiTheme="minorHAnsi" w:hAnsiTheme="minorHAnsi"/>
          <w:color w:val="000000"/>
          <w:sz w:val="22"/>
          <w:szCs w:val="22"/>
        </w:rPr>
        <w:t>Pays d’origine sûr</w:t>
      </w:r>
    </w:p>
    <w:p w:rsidR="00A82413" w:rsidRPr="00072B2C" w:rsidRDefault="00A82413" w:rsidP="00A82413">
      <w:pPr>
        <w:pStyle w:val="Paragraphedeliste"/>
        <w:rPr>
          <w:rFonts w:asciiTheme="minorHAnsi" w:hAnsiTheme="minorHAnsi"/>
          <w:color w:val="000000"/>
          <w:sz w:val="22"/>
          <w:szCs w:val="22"/>
        </w:rPr>
      </w:pPr>
    </w:p>
    <w:p w:rsidR="00E16DAB" w:rsidRPr="00072B2C" w:rsidRDefault="00945BFE" w:rsidP="0049095B">
      <w:pPr>
        <w:rPr>
          <w:rFonts w:eastAsia="Times New Roman" w:cs="Times New Roman"/>
          <w:color w:val="000000"/>
          <w:lang w:eastAsia="fr-BE"/>
        </w:rPr>
      </w:pPr>
      <w:r w:rsidRPr="00072B2C">
        <w:rPr>
          <w:rFonts w:eastAsia="Times New Roman" w:cs="Times New Roman"/>
          <w:color w:val="000000"/>
          <w:lang w:eastAsia="fr-BE"/>
        </w:rPr>
        <w:t xml:space="preserve">Il est précisé que dans le cadre de sa compétence de plein contentieux, le CCE peut se fonder sur les critères d’appréciation déterminés par l’article 57/6/1, al. 1 à 3, qui concerne un ressortissant d’un pays d’origine sûr. </w:t>
      </w:r>
    </w:p>
    <w:p w:rsidR="00A82413" w:rsidRPr="00072B2C" w:rsidRDefault="00A82413" w:rsidP="00A82413">
      <w:pPr>
        <w:pStyle w:val="Paragraphedeliste"/>
        <w:numPr>
          <w:ilvl w:val="0"/>
          <w:numId w:val="18"/>
        </w:numPr>
        <w:rPr>
          <w:rFonts w:asciiTheme="minorHAnsi" w:hAnsiTheme="minorHAnsi"/>
          <w:color w:val="000000"/>
          <w:sz w:val="22"/>
          <w:szCs w:val="22"/>
        </w:rPr>
      </w:pPr>
      <w:r w:rsidRPr="00072B2C">
        <w:rPr>
          <w:rFonts w:asciiTheme="minorHAnsi" w:hAnsiTheme="minorHAnsi"/>
          <w:color w:val="000000"/>
          <w:sz w:val="22"/>
          <w:szCs w:val="22"/>
        </w:rPr>
        <w:t>Eléments nouveaux</w:t>
      </w:r>
    </w:p>
    <w:p w:rsidR="00A82413" w:rsidRPr="00072B2C" w:rsidRDefault="00A82413" w:rsidP="00A82413">
      <w:pPr>
        <w:pStyle w:val="Paragraphedeliste"/>
        <w:rPr>
          <w:rFonts w:asciiTheme="minorHAnsi" w:hAnsiTheme="minorHAnsi"/>
          <w:color w:val="000000"/>
          <w:sz w:val="22"/>
          <w:szCs w:val="22"/>
        </w:rPr>
      </w:pPr>
    </w:p>
    <w:p w:rsidR="00BC76CD" w:rsidRPr="00072B2C" w:rsidRDefault="00BC76CD" w:rsidP="007D7783">
      <w:pPr>
        <w:autoSpaceDE w:val="0"/>
        <w:autoSpaceDN w:val="0"/>
        <w:adjustRightInd w:val="0"/>
        <w:spacing w:after="0"/>
        <w:rPr>
          <w:rFonts w:cs="HelveticaLTStd-Roman"/>
        </w:rPr>
      </w:pPr>
      <w:r w:rsidRPr="00072B2C">
        <w:rPr>
          <w:rFonts w:eastAsia="Times New Roman" w:cs="Times New Roman"/>
          <w:color w:val="000000"/>
          <w:lang w:eastAsia="fr-BE"/>
        </w:rPr>
        <w:lastRenderedPageBreak/>
        <w:t xml:space="preserve">La prise en compte des éléments nouveaux au niveau du CCE est </w:t>
      </w:r>
      <w:r w:rsidR="00CB4553" w:rsidRPr="00072B2C">
        <w:rPr>
          <w:rFonts w:eastAsia="Times New Roman" w:cs="Times New Roman"/>
          <w:color w:val="000000"/>
          <w:lang w:eastAsia="fr-BE"/>
        </w:rPr>
        <w:t xml:space="preserve">alignée sur les conditions prévues dans le cadre de l’introduction d’une nouvelle demande d’asile, à savoir que les éléments invoqués augmentent de manière significative la probabilité que l'étranger remplisse les conditions requises pour la protection. </w:t>
      </w:r>
      <w:r w:rsidR="00CB4553" w:rsidRPr="00072B2C">
        <w:rPr>
          <w:rFonts w:cs="HelveticaLTStd-Roman"/>
        </w:rPr>
        <w:t>L’obligation d’expliquer dans la requête pourquoi certains éléments n’ont pas été invoqués antérieurement</w:t>
      </w:r>
      <w:r w:rsidR="00CB4553" w:rsidRPr="00072B2C">
        <w:rPr>
          <w:rFonts w:eastAsia="Times New Roman" w:cs="Times New Roman"/>
          <w:color w:val="000000"/>
          <w:lang w:eastAsia="fr-BE"/>
        </w:rPr>
        <w:t xml:space="preserve"> est supprimée. </w:t>
      </w:r>
      <w:r w:rsidR="007E73D6" w:rsidRPr="00072B2C">
        <w:rPr>
          <w:rFonts w:eastAsia="Times New Roman" w:cs="Times New Roman"/>
          <w:color w:val="000000"/>
          <w:lang w:eastAsia="fr-BE"/>
        </w:rPr>
        <w:t xml:space="preserve">Selon les travaux préparatoires, cette nouvelle </w:t>
      </w:r>
      <w:r w:rsidR="00FB609C" w:rsidRPr="00072B2C">
        <w:rPr>
          <w:rFonts w:eastAsia="Times New Roman" w:cs="Times New Roman"/>
          <w:color w:val="000000"/>
          <w:lang w:eastAsia="fr-BE"/>
        </w:rPr>
        <w:t>disposition</w:t>
      </w:r>
      <w:r w:rsidR="007E73D6" w:rsidRPr="00072B2C">
        <w:rPr>
          <w:rFonts w:eastAsia="Times New Roman" w:cs="Times New Roman"/>
          <w:color w:val="000000"/>
          <w:lang w:eastAsia="fr-BE"/>
        </w:rPr>
        <w:t xml:space="preserve"> « </w:t>
      </w:r>
      <w:r w:rsidR="007E73D6" w:rsidRPr="00072B2C">
        <w:rPr>
          <w:rFonts w:cs="HelveticaLTStd-Roman"/>
          <w:i/>
        </w:rPr>
        <w:t>donne au Conseil du Contentieux des Étrangers la possibilité de traiter d’une manière plus pragmatique les éléments et faits nouveaux qui sont invoqués au cours de la procédure, et où un équilibre est recherché entre l’obligation d’offrir une protection juridictionnelle effective et la nécessité de prévenir l’abus de la procédure</w:t>
      </w:r>
      <w:r w:rsidR="007E73D6" w:rsidRPr="00072B2C">
        <w:rPr>
          <w:rFonts w:cs="HelveticaLTStd-Roman"/>
        </w:rPr>
        <w:t> »</w:t>
      </w:r>
      <w:r w:rsidR="007E73D6" w:rsidRPr="00072B2C">
        <w:rPr>
          <w:rStyle w:val="Appelnotedebasdep"/>
          <w:rFonts w:cs="HelveticaLTStd-Roman"/>
        </w:rPr>
        <w:footnoteReference w:id="26"/>
      </w:r>
      <w:r w:rsidR="007E73D6" w:rsidRPr="00072B2C">
        <w:rPr>
          <w:rFonts w:cs="HelveticaLTStd-Roman"/>
        </w:rPr>
        <w:t>.</w:t>
      </w:r>
      <w:r w:rsidR="007E73D6" w:rsidRPr="00072B2C">
        <w:rPr>
          <w:rFonts w:eastAsia="Times New Roman" w:cs="Times New Roman"/>
          <w:color w:val="000000"/>
          <w:lang w:eastAsia="fr-BE"/>
        </w:rPr>
        <w:t xml:space="preserve"> </w:t>
      </w:r>
      <w:r w:rsidR="00CB4553" w:rsidRPr="00072B2C">
        <w:rPr>
          <w:rFonts w:eastAsia="Times New Roman" w:cs="Times New Roman"/>
          <w:color w:val="000000"/>
          <w:lang w:eastAsia="fr-BE"/>
        </w:rPr>
        <w:t xml:space="preserve">La communication de </w:t>
      </w:r>
      <w:r w:rsidRPr="00072B2C">
        <w:rPr>
          <w:rFonts w:eastAsia="Times New Roman" w:cs="Times New Roman"/>
          <w:color w:val="000000"/>
          <w:lang w:eastAsia="fr-BE"/>
        </w:rPr>
        <w:t xml:space="preserve">ces éléments </w:t>
      </w:r>
      <w:r w:rsidR="00CB4553" w:rsidRPr="00072B2C">
        <w:rPr>
          <w:rFonts w:eastAsia="Times New Roman" w:cs="Times New Roman"/>
          <w:color w:val="000000"/>
          <w:lang w:eastAsia="fr-BE"/>
        </w:rPr>
        <w:t xml:space="preserve">doit toutefois se faire </w:t>
      </w:r>
      <w:r w:rsidRPr="00072B2C">
        <w:rPr>
          <w:rFonts w:eastAsia="Times New Roman" w:cs="Times New Roman"/>
          <w:color w:val="000000"/>
          <w:lang w:eastAsia="fr-BE"/>
        </w:rPr>
        <w:t xml:space="preserve">sous forme d’une note complémentaire jusqu’à la clôture des débats. A souligner que les éléments qui ne seraient pas repris dans cette note seront écartés d’office des débats. </w:t>
      </w:r>
      <w:r w:rsidR="005F5FCF" w:rsidRPr="00072B2C">
        <w:rPr>
          <w:rFonts w:eastAsia="Times New Roman" w:cs="Times New Roman"/>
          <w:color w:val="000000"/>
          <w:lang w:eastAsia="fr-BE"/>
        </w:rPr>
        <w:t xml:space="preserve">Le débat contradictoire sur ces éléments et leur prise en compte </w:t>
      </w:r>
      <w:r w:rsidR="00570AE1" w:rsidRPr="00072B2C">
        <w:rPr>
          <w:rFonts w:eastAsia="Times New Roman" w:cs="Times New Roman"/>
          <w:color w:val="000000"/>
          <w:lang w:eastAsia="fr-BE"/>
        </w:rPr>
        <w:t>par le CCE est strictement encadrée comme suit (art.39/76) :</w:t>
      </w:r>
    </w:p>
    <w:p w:rsidR="00CB4553" w:rsidRPr="00072B2C" w:rsidRDefault="00CB4553" w:rsidP="00CB4553">
      <w:pPr>
        <w:autoSpaceDE w:val="0"/>
        <w:autoSpaceDN w:val="0"/>
        <w:adjustRightInd w:val="0"/>
        <w:spacing w:after="0" w:line="240" w:lineRule="auto"/>
        <w:rPr>
          <w:rFonts w:cs="HelveticaLTStd-Roman"/>
        </w:rPr>
      </w:pPr>
    </w:p>
    <w:p w:rsidR="008E5CBA" w:rsidRPr="00072B2C" w:rsidRDefault="008E5CBA" w:rsidP="00A82413">
      <w:pPr>
        <w:pStyle w:val="Paragraphedeliste"/>
        <w:numPr>
          <w:ilvl w:val="0"/>
          <w:numId w:val="19"/>
        </w:numPr>
        <w:rPr>
          <w:rFonts w:asciiTheme="minorHAnsi" w:hAnsiTheme="minorHAnsi"/>
          <w:color w:val="000000"/>
          <w:sz w:val="22"/>
          <w:szCs w:val="22"/>
        </w:rPr>
      </w:pPr>
      <w:r w:rsidRPr="00072B2C">
        <w:rPr>
          <w:rFonts w:asciiTheme="minorHAnsi" w:hAnsiTheme="minorHAnsi"/>
          <w:color w:val="000000"/>
          <w:sz w:val="22"/>
          <w:szCs w:val="22"/>
        </w:rPr>
        <w:t xml:space="preserve">Lorsque des éléments nouveaux sont </w:t>
      </w:r>
      <w:r w:rsidRPr="00072B2C">
        <w:rPr>
          <w:rFonts w:asciiTheme="minorHAnsi" w:hAnsiTheme="minorHAnsi"/>
          <w:color w:val="000000"/>
          <w:sz w:val="22"/>
          <w:szCs w:val="22"/>
          <w:u w:val="single"/>
        </w:rPr>
        <w:t>invoqués par la partie requérante ou intervenante</w:t>
      </w:r>
      <w:r w:rsidRPr="00072B2C">
        <w:rPr>
          <w:rFonts w:asciiTheme="minorHAnsi" w:hAnsiTheme="minorHAnsi"/>
          <w:color w:val="000000"/>
          <w:sz w:val="22"/>
          <w:szCs w:val="22"/>
        </w:rPr>
        <w:t xml:space="preserve"> : </w:t>
      </w:r>
    </w:p>
    <w:p w:rsidR="008E5CBA" w:rsidRPr="00072B2C" w:rsidRDefault="008E5CBA" w:rsidP="008E5CBA">
      <w:pPr>
        <w:pStyle w:val="Paragraphedeliste"/>
        <w:rPr>
          <w:rFonts w:asciiTheme="minorHAnsi" w:hAnsiTheme="minorHAnsi"/>
          <w:color w:val="000000"/>
          <w:sz w:val="22"/>
          <w:szCs w:val="22"/>
        </w:rPr>
      </w:pPr>
    </w:p>
    <w:p w:rsidR="003A37F9" w:rsidRPr="00072B2C" w:rsidRDefault="00BC76CD" w:rsidP="008E5CBA">
      <w:pPr>
        <w:rPr>
          <w:color w:val="000000"/>
        </w:rPr>
      </w:pPr>
      <w:r w:rsidRPr="00072B2C">
        <w:rPr>
          <w:rFonts w:eastAsia="Times New Roman" w:cs="Times New Roman"/>
          <w:color w:val="000000"/>
          <w:lang w:eastAsia="fr-BE"/>
        </w:rPr>
        <w:t xml:space="preserve">Si le juge estime que </w:t>
      </w:r>
      <w:r w:rsidR="008E5CBA" w:rsidRPr="00072B2C">
        <w:rPr>
          <w:rFonts w:eastAsia="Times New Roman" w:cs="Times New Roman"/>
          <w:color w:val="000000"/>
          <w:lang w:eastAsia="fr-BE"/>
        </w:rPr>
        <w:t>c</w:t>
      </w:r>
      <w:r w:rsidRPr="00072B2C">
        <w:rPr>
          <w:rFonts w:eastAsia="Times New Roman" w:cs="Times New Roman"/>
          <w:color w:val="000000"/>
          <w:lang w:eastAsia="fr-BE"/>
        </w:rPr>
        <w:t xml:space="preserve">es éléments augmentent de manière significative la probabilité que l'étranger </w:t>
      </w:r>
      <w:r w:rsidRPr="00072B2C">
        <w:rPr>
          <w:rFonts w:eastAsia="Times New Roman" w:cs="Times New Roman"/>
          <w:color w:val="000000"/>
          <w:u w:val="single"/>
          <w:lang w:eastAsia="fr-BE"/>
        </w:rPr>
        <w:t>remplisse</w:t>
      </w:r>
      <w:r w:rsidRPr="00072B2C">
        <w:rPr>
          <w:rFonts w:eastAsia="Times New Roman" w:cs="Times New Roman"/>
          <w:color w:val="000000"/>
          <w:lang w:eastAsia="fr-BE"/>
        </w:rPr>
        <w:t xml:space="preserve"> les conditions requises pour la </w:t>
      </w:r>
      <w:r w:rsidR="00A25AEF" w:rsidRPr="00072B2C">
        <w:rPr>
          <w:rFonts w:eastAsia="Times New Roman" w:cs="Times New Roman"/>
          <w:color w:val="000000"/>
          <w:lang w:eastAsia="fr-BE"/>
        </w:rPr>
        <w:t>protection</w:t>
      </w:r>
      <w:r w:rsidR="008E5CBA" w:rsidRPr="00072B2C">
        <w:rPr>
          <w:rFonts w:eastAsia="Times New Roman" w:cs="Times New Roman"/>
          <w:color w:val="000000"/>
          <w:lang w:eastAsia="fr-BE"/>
        </w:rPr>
        <w:t xml:space="preserve">, et, cumulativement, </w:t>
      </w:r>
      <w:r w:rsidR="003A37F9" w:rsidRPr="00072B2C">
        <w:rPr>
          <w:color w:val="000000"/>
        </w:rPr>
        <w:t xml:space="preserve">qu’il doit </w:t>
      </w:r>
      <w:r w:rsidRPr="00072B2C">
        <w:rPr>
          <w:rFonts w:eastAsia="Times New Roman" w:cs="Times New Roman"/>
          <w:color w:val="000000"/>
          <w:lang w:eastAsia="fr-BE"/>
        </w:rPr>
        <w:t xml:space="preserve">annuler la décision attaquée parce qu'il ne peut pas conclure à la confirmation ou à la réformation de la décision attaquée sans mesures d'instruction complémentaires, il ordonne au </w:t>
      </w:r>
      <w:r w:rsidR="00A25AEF" w:rsidRPr="00072B2C">
        <w:rPr>
          <w:rFonts w:eastAsia="Times New Roman" w:cs="Times New Roman"/>
          <w:color w:val="000000"/>
          <w:lang w:eastAsia="fr-BE"/>
        </w:rPr>
        <w:t xml:space="preserve">CGRA </w:t>
      </w:r>
      <w:r w:rsidRPr="00072B2C">
        <w:rPr>
          <w:rFonts w:eastAsia="Times New Roman" w:cs="Times New Roman"/>
          <w:color w:val="000000"/>
          <w:lang w:eastAsia="fr-BE"/>
        </w:rPr>
        <w:t xml:space="preserve"> d'examiner </w:t>
      </w:r>
      <w:r w:rsidRPr="00072B2C">
        <w:rPr>
          <w:rFonts w:eastAsia="Times New Roman" w:cs="Times New Roman"/>
          <w:color w:val="000000"/>
          <w:lang w:eastAsia="fr-BE"/>
        </w:rPr>
        <w:lastRenderedPageBreak/>
        <w:t>les éléments nouveaux qu'il indique et de lui transmettre un rapport écrit dans les huit jours.</w:t>
      </w:r>
      <w:r w:rsidR="00A25AEF" w:rsidRPr="00072B2C">
        <w:rPr>
          <w:rFonts w:eastAsia="Times New Roman" w:cs="Times New Roman"/>
          <w:color w:val="000000"/>
          <w:lang w:eastAsia="fr-BE"/>
        </w:rPr>
        <w:t xml:space="preserve"> </w:t>
      </w:r>
      <w:r w:rsidRPr="00072B2C">
        <w:rPr>
          <w:rFonts w:eastAsia="Times New Roman" w:cs="Times New Roman"/>
          <w:color w:val="000000"/>
          <w:lang w:eastAsia="fr-BE"/>
        </w:rPr>
        <w:t xml:space="preserve">Si le </w:t>
      </w:r>
      <w:r w:rsidR="00A25AEF" w:rsidRPr="00072B2C">
        <w:rPr>
          <w:rFonts w:eastAsia="Times New Roman" w:cs="Times New Roman"/>
          <w:color w:val="000000"/>
          <w:lang w:eastAsia="fr-BE"/>
        </w:rPr>
        <w:t>CGRA</w:t>
      </w:r>
      <w:r w:rsidRPr="00072B2C">
        <w:rPr>
          <w:rFonts w:eastAsia="Times New Roman" w:cs="Times New Roman"/>
          <w:color w:val="000000"/>
          <w:lang w:eastAsia="fr-BE"/>
        </w:rPr>
        <w:t xml:space="preserve"> renonce expressément à ce droit d'examen, ou si le rapport écrit n'est pas introduit ou l'est tardivement, la décision attaquée est annulée sans procédure ou audience </w:t>
      </w:r>
      <w:r w:rsidR="003A37F9" w:rsidRPr="00072B2C">
        <w:rPr>
          <w:color w:val="000000"/>
        </w:rPr>
        <w:t>ultérieure. Dans le cas contraire, le rapport</w:t>
      </w:r>
      <w:r w:rsidRPr="00072B2C">
        <w:rPr>
          <w:rFonts w:eastAsia="Times New Roman" w:cs="Times New Roman"/>
          <w:color w:val="000000"/>
          <w:lang w:eastAsia="fr-BE"/>
        </w:rPr>
        <w:t xml:space="preserve"> est communiqué à la partie requérante ou intervenante</w:t>
      </w:r>
      <w:r w:rsidR="00A25AEF" w:rsidRPr="00072B2C">
        <w:rPr>
          <w:rFonts w:eastAsia="Times New Roman" w:cs="Times New Roman"/>
          <w:color w:val="000000"/>
          <w:lang w:eastAsia="fr-BE"/>
        </w:rPr>
        <w:t xml:space="preserve"> qui </w:t>
      </w:r>
      <w:r w:rsidRPr="00072B2C">
        <w:rPr>
          <w:rFonts w:eastAsia="Times New Roman" w:cs="Times New Roman"/>
          <w:color w:val="000000"/>
          <w:lang w:eastAsia="fr-BE"/>
        </w:rPr>
        <w:t>introduit une note en réplique dans les huit jours de la notification de ce rapport.</w:t>
      </w:r>
      <w:r w:rsidR="003A37F9" w:rsidRPr="00072B2C">
        <w:rPr>
          <w:color w:val="000000"/>
        </w:rPr>
        <w:t xml:space="preserve"> </w:t>
      </w:r>
      <w:r w:rsidR="00A25AEF" w:rsidRPr="00072B2C">
        <w:rPr>
          <w:rFonts w:eastAsia="Times New Roman" w:cs="Times New Roman"/>
          <w:color w:val="000000"/>
          <w:lang w:eastAsia="fr-BE"/>
        </w:rPr>
        <w:t>A défaut, la partie requérante ou intervenante</w:t>
      </w:r>
      <w:r w:rsidRPr="00072B2C">
        <w:rPr>
          <w:rFonts w:eastAsia="Times New Roman" w:cs="Times New Roman"/>
          <w:color w:val="000000"/>
          <w:lang w:eastAsia="fr-BE"/>
        </w:rPr>
        <w:t xml:space="preserve"> est censée souscrire au point de vue adopté par le </w:t>
      </w:r>
      <w:r w:rsidR="00A25AEF" w:rsidRPr="00072B2C">
        <w:rPr>
          <w:rFonts w:eastAsia="Times New Roman" w:cs="Times New Roman"/>
          <w:color w:val="000000"/>
          <w:lang w:eastAsia="fr-BE"/>
        </w:rPr>
        <w:t>CGRA</w:t>
      </w:r>
      <w:r w:rsidRPr="00072B2C">
        <w:rPr>
          <w:rFonts w:eastAsia="Times New Roman" w:cs="Times New Roman"/>
          <w:color w:val="000000"/>
          <w:lang w:eastAsia="fr-BE"/>
        </w:rPr>
        <w:t xml:space="preserve"> dans son rapport.</w:t>
      </w:r>
    </w:p>
    <w:p w:rsidR="003A37F9" w:rsidRPr="00072B2C" w:rsidRDefault="008E5CBA" w:rsidP="00072B2C">
      <w:pPr>
        <w:pStyle w:val="Paragraphedeliste"/>
        <w:numPr>
          <w:ilvl w:val="0"/>
          <w:numId w:val="19"/>
        </w:numPr>
        <w:rPr>
          <w:rFonts w:asciiTheme="minorHAnsi" w:hAnsiTheme="minorHAnsi"/>
          <w:color w:val="000000"/>
          <w:sz w:val="22"/>
          <w:szCs w:val="22"/>
        </w:rPr>
      </w:pPr>
      <w:r w:rsidRPr="00072B2C">
        <w:rPr>
          <w:rFonts w:asciiTheme="minorHAnsi" w:hAnsiTheme="minorHAnsi"/>
          <w:color w:val="000000"/>
          <w:sz w:val="22"/>
          <w:szCs w:val="22"/>
        </w:rPr>
        <w:t xml:space="preserve">Lorsque des éléments nouveaux sont </w:t>
      </w:r>
      <w:r w:rsidRPr="00072B2C">
        <w:rPr>
          <w:rFonts w:asciiTheme="minorHAnsi" w:hAnsiTheme="minorHAnsi"/>
          <w:color w:val="000000"/>
          <w:sz w:val="22"/>
          <w:szCs w:val="22"/>
          <w:u w:val="single"/>
        </w:rPr>
        <w:t>invoqués par le CGRA</w:t>
      </w:r>
      <w:r w:rsidRPr="00072B2C">
        <w:rPr>
          <w:rFonts w:asciiTheme="minorHAnsi" w:hAnsiTheme="minorHAnsi"/>
          <w:color w:val="000000"/>
          <w:sz w:val="22"/>
          <w:szCs w:val="22"/>
        </w:rPr>
        <w:t xml:space="preserve"> : </w:t>
      </w:r>
      <w:r w:rsidR="00BC76CD" w:rsidRPr="00072B2C">
        <w:rPr>
          <w:rFonts w:asciiTheme="minorHAnsi" w:hAnsiTheme="minorHAnsi"/>
          <w:color w:val="000000"/>
          <w:sz w:val="22"/>
          <w:szCs w:val="22"/>
        </w:rPr>
        <w:br/>
      </w:r>
    </w:p>
    <w:p w:rsidR="003A37F9" w:rsidRPr="00072B2C" w:rsidRDefault="00BC76CD" w:rsidP="008E5CBA">
      <w:pPr>
        <w:pStyle w:val="Paragraphedeliste"/>
        <w:numPr>
          <w:ilvl w:val="0"/>
          <w:numId w:val="5"/>
        </w:numPr>
        <w:rPr>
          <w:rFonts w:asciiTheme="minorHAnsi" w:hAnsiTheme="minorHAnsi"/>
          <w:color w:val="000000"/>
          <w:sz w:val="22"/>
          <w:szCs w:val="22"/>
        </w:rPr>
      </w:pPr>
      <w:r w:rsidRPr="00072B2C">
        <w:rPr>
          <w:rFonts w:asciiTheme="minorHAnsi" w:hAnsiTheme="minorHAnsi"/>
          <w:color w:val="000000"/>
          <w:sz w:val="22"/>
          <w:szCs w:val="22"/>
        </w:rPr>
        <w:t xml:space="preserve">Si le juge estime que les éléments nouveaux augmentent de manière significative la probabilité de constater que l'étranger </w:t>
      </w:r>
      <w:r w:rsidRPr="00072B2C">
        <w:rPr>
          <w:rFonts w:asciiTheme="minorHAnsi" w:hAnsiTheme="minorHAnsi"/>
          <w:color w:val="000000"/>
          <w:sz w:val="22"/>
          <w:szCs w:val="22"/>
          <w:u w:val="single"/>
        </w:rPr>
        <w:t>ne remplit pas</w:t>
      </w:r>
      <w:r w:rsidRPr="00072B2C">
        <w:rPr>
          <w:rFonts w:asciiTheme="minorHAnsi" w:hAnsiTheme="minorHAnsi"/>
          <w:color w:val="000000"/>
          <w:sz w:val="22"/>
          <w:szCs w:val="22"/>
        </w:rPr>
        <w:t xml:space="preserve"> les conditions</w:t>
      </w:r>
      <w:r w:rsidR="008E5CBA" w:rsidRPr="00072B2C">
        <w:rPr>
          <w:rFonts w:asciiTheme="minorHAnsi" w:hAnsiTheme="minorHAnsi"/>
          <w:color w:val="000000"/>
          <w:sz w:val="22"/>
          <w:szCs w:val="22"/>
        </w:rPr>
        <w:t xml:space="preserve"> de la protection</w:t>
      </w:r>
      <w:r w:rsidRPr="00072B2C">
        <w:rPr>
          <w:rFonts w:asciiTheme="minorHAnsi" w:hAnsiTheme="minorHAnsi"/>
          <w:color w:val="000000"/>
          <w:sz w:val="22"/>
          <w:szCs w:val="22"/>
        </w:rPr>
        <w:t>, il demande à la partie requérante ou intervenante, de communiquer dans les huit jours ses observations concernant les éléments</w:t>
      </w:r>
      <w:r w:rsidR="006855AB" w:rsidRPr="00072B2C">
        <w:rPr>
          <w:rFonts w:asciiTheme="minorHAnsi" w:hAnsiTheme="minorHAnsi"/>
          <w:color w:val="000000"/>
          <w:sz w:val="22"/>
          <w:szCs w:val="22"/>
        </w:rPr>
        <w:t xml:space="preserve"> </w:t>
      </w:r>
      <w:r w:rsidRPr="00072B2C">
        <w:rPr>
          <w:rFonts w:asciiTheme="minorHAnsi" w:hAnsiTheme="minorHAnsi"/>
          <w:color w:val="000000"/>
          <w:sz w:val="22"/>
          <w:szCs w:val="22"/>
        </w:rPr>
        <w:t xml:space="preserve">nouveaux qu'il indique et le point de vue du </w:t>
      </w:r>
      <w:r w:rsidR="008E5CBA" w:rsidRPr="00072B2C">
        <w:rPr>
          <w:rFonts w:asciiTheme="minorHAnsi" w:hAnsiTheme="minorHAnsi"/>
          <w:color w:val="000000"/>
          <w:sz w:val="22"/>
          <w:szCs w:val="22"/>
        </w:rPr>
        <w:t>CGRA</w:t>
      </w:r>
      <w:r w:rsidRPr="00072B2C">
        <w:rPr>
          <w:rFonts w:asciiTheme="minorHAnsi" w:hAnsiTheme="minorHAnsi"/>
          <w:color w:val="000000"/>
          <w:sz w:val="22"/>
          <w:szCs w:val="22"/>
        </w:rPr>
        <w:t xml:space="preserve"> relatif à l'impact que ces éléments nouveaux ont sur la possibilité de reconnaissance ou de maintien de la qualité de réfugié ou du statut de protection subsidiaire.</w:t>
      </w:r>
      <w:r w:rsidRPr="00072B2C">
        <w:rPr>
          <w:rFonts w:asciiTheme="minorHAnsi" w:hAnsiTheme="minorHAnsi"/>
          <w:color w:val="000000"/>
          <w:sz w:val="22"/>
          <w:szCs w:val="22"/>
        </w:rPr>
        <w:br/>
        <w:t xml:space="preserve">Si la partie requérante ou intervenante omet d'introduire une note en réplique dans le délai de huit jours, elle est censée souscrire au point de vue adopté par le </w:t>
      </w:r>
      <w:r w:rsidR="008E5CBA" w:rsidRPr="00072B2C">
        <w:rPr>
          <w:rFonts w:asciiTheme="minorHAnsi" w:hAnsiTheme="minorHAnsi"/>
          <w:color w:val="000000"/>
          <w:sz w:val="22"/>
          <w:szCs w:val="22"/>
        </w:rPr>
        <w:t>CGRA</w:t>
      </w:r>
      <w:r w:rsidRPr="00072B2C">
        <w:rPr>
          <w:rFonts w:asciiTheme="minorHAnsi" w:hAnsiTheme="minorHAnsi"/>
          <w:color w:val="000000"/>
          <w:sz w:val="22"/>
          <w:szCs w:val="22"/>
        </w:rPr>
        <w:t xml:space="preserve"> dans sa note ou à l'audience concernant les éléments nouveaux indiqués.</w:t>
      </w:r>
      <w:r w:rsidRPr="00072B2C">
        <w:rPr>
          <w:rFonts w:asciiTheme="minorHAnsi" w:hAnsiTheme="minorHAnsi"/>
          <w:color w:val="000000"/>
          <w:sz w:val="22"/>
          <w:szCs w:val="22"/>
        </w:rPr>
        <w:br/>
      </w:r>
    </w:p>
    <w:p w:rsidR="00BC76CD" w:rsidRPr="00072B2C" w:rsidRDefault="00BC76CD" w:rsidP="002C223C">
      <w:pPr>
        <w:pStyle w:val="Paragraphedeliste"/>
        <w:numPr>
          <w:ilvl w:val="0"/>
          <w:numId w:val="5"/>
        </w:numPr>
        <w:rPr>
          <w:rFonts w:asciiTheme="minorHAnsi" w:hAnsiTheme="minorHAnsi"/>
          <w:color w:val="000000"/>
          <w:sz w:val="22"/>
          <w:szCs w:val="22"/>
        </w:rPr>
      </w:pPr>
      <w:r w:rsidRPr="00072B2C">
        <w:rPr>
          <w:rFonts w:asciiTheme="minorHAnsi" w:hAnsiTheme="minorHAnsi"/>
          <w:color w:val="000000"/>
          <w:sz w:val="22"/>
          <w:szCs w:val="22"/>
        </w:rPr>
        <w:t xml:space="preserve">Si le juge estime que les éléments nouveaux augmentent de manière significative la probabilité que l'étranger </w:t>
      </w:r>
      <w:r w:rsidRPr="00072B2C">
        <w:rPr>
          <w:rFonts w:asciiTheme="minorHAnsi" w:hAnsiTheme="minorHAnsi"/>
          <w:color w:val="000000"/>
          <w:sz w:val="22"/>
          <w:szCs w:val="22"/>
          <w:u w:val="single"/>
        </w:rPr>
        <w:t>remplisse</w:t>
      </w:r>
      <w:r w:rsidRPr="00072B2C">
        <w:rPr>
          <w:rFonts w:asciiTheme="minorHAnsi" w:hAnsiTheme="minorHAnsi"/>
          <w:color w:val="000000"/>
          <w:sz w:val="22"/>
          <w:szCs w:val="22"/>
        </w:rPr>
        <w:t xml:space="preserve"> les conditions </w:t>
      </w:r>
      <w:r w:rsidR="00570AE1" w:rsidRPr="00072B2C">
        <w:rPr>
          <w:rFonts w:asciiTheme="minorHAnsi" w:hAnsiTheme="minorHAnsi"/>
          <w:color w:val="000000"/>
          <w:sz w:val="22"/>
          <w:szCs w:val="22"/>
        </w:rPr>
        <w:t>de</w:t>
      </w:r>
      <w:r w:rsidRPr="00072B2C">
        <w:rPr>
          <w:rFonts w:asciiTheme="minorHAnsi" w:hAnsiTheme="minorHAnsi"/>
          <w:color w:val="000000"/>
          <w:sz w:val="22"/>
          <w:szCs w:val="22"/>
        </w:rPr>
        <w:t xml:space="preserve"> la </w:t>
      </w:r>
      <w:r w:rsidR="008E5CBA" w:rsidRPr="00072B2C">
        <w:rPr>
          <w:rFonts w:asciiTheme="minorHAnsi" w:hAnsiTheme="minorHAnsi"/>
          <w:color w:val="000000"/>
          <w:sz w:val="22"/>
          <w:szCs w:val="22"/>
        </w:rPr>
        <w:lastRenderedPageBreak/>
        <w:t xml:space="preserve">protection, </w:t>
      </w:r>
      <w:r w:rsidRPr="00072B2C">
        <w:rPr>
          <w:rFonts w:asciiTheme="minorHAnsi" w:hAnsiTheme="minorHAnsi"/>
          <w:color w:val="000000"/>
          <w:sz w:val="22"/>
          <w:szCs w:val="22"/>
        </w:rPr>
        <w:t xml:space="preserve">et </w:t>
      </w:r>
      <w:r w:rsidR="008E5CBA" w:rsidRPr="00072B2C">
        <w:rPr>
          <w:rFonts w:asciiTheme="minorHAnsi" w:hAnsiTheme="minorHAnsi"/>
          <w:color w:val="000000"/>
          <w:sz w:val="22"/>
          <w:szCs w:val="22"/>
        </w:rPr>
        <w:t>que</w:t>
      </w:r>
      <w:r w:rsidRPr="00072B2C">
        <w:rPr>
          <w:rFonts w:asciiTheme="minorHAnsi" w:hAnsiTheme="minorHAnsi"/>
          <w:color w:val="000000"/>
          <w:sz w:val="22"/>
          <w:szCs w:val="22"/>
        </w:rPr>
        <w:t>, cumulative</w:t>
      </w:r>
      <w:r w:rsidR="008E5CBA" w:rsidRPr="00072B2C">
        <w:rPr>
          <w:rFonts w:asciiTheme="minorHAnsi" w:hAnsiTheme="minorHAnsi"/>
          <w:color w:val="000000"/>
          <w:sz w:val="22"/>
          <w:szCs w:val="22"/>
        </w:rPr>
        <w:t>ment,</w:t>
      </w:r>
      <w:r w:rsidRPr="00072B2C">
        <w:rPr>
          <w:rFonts w:asciiTheme="minorHAnsi" w:hAnsiTheme="minorHAnsi"/>
          <w:color w:val="000000"/>
          <w:sz w:val="22"/>
          <w:szCs w:val="22"/>
        </w:rPr>
        <w:t xml:space="preserve"> il doit annuler la décision parce qu'il ne peut pas conclure à la confirmation ou à la réformation de la décision sans mesures d'instruction complémentaires, ce constat entraîne l'annulation d'office de la décision attaquée. </w:t>
      </w:r>
    </w:p>
    <w:p w:rsidR="00945BFE" w:rsidRPr="00072B2C" w:rsidRDefault="00945BFE" w:rsidP="0049095B">
      <w:pPr>
        <w:rPr>
          <w:rFonts w:eastAsia="Times New Roman" w:cs="Times New Roman"/>
          <w:color w:val="000000"/>
          <w:lang w:eastAsia="fr-BE"/>
        </w:rPr>
      </w:pPr>
    </w:p>
    <w:p w:rsidR="00072B2C" w:rsidRPr="00072B2C" w:rsidRDefault="00072B2C" w:rsidP="00072B2C">
      <w:pPr>
        <w:pStyle w:val="Paragraphedeliste"/>
        <w:numPr>
          <w:ilvl w:val="0"/>
          <w:numId w:val="20"/>
        </w:numPr>
        <w:rPr>
          <w:rFonts w:asciiTheme="minorHAnsi" w:hAnsiTheme="minorHAnsi"/>
          <w:color w:val="000000"/>
          <w:sz w:val="22"/>
          <w:szCs w:val="22"/>
        </w:rPr>
      </w:pPr>
      <w:r w:rsidRPr="00072B2C">
        <w:rPr>
          <w:rFonts w:asciiTheme="minorHAnsi" w:hAnsiTheme="minorHAnsi"/>
          <w:color w:val="000000"/>
          <w:sz w:val="22"/>
          <w:szCs w:val="22"/>
        </w:rPr>
        <w:t>Recours examinés en priorité</w:t>
      </w:r>
    </w:p>
    <w:p w:rsidR="00072B2C" w:rsidRPr="00072B2C" w:rsidRDefault="00072B2C" w:rsidP="00072B2C">
      <w:pPr>
        <w:pStyle w:val="Paragraphedeliste"/>
        <w:rPr>
          <w:rFonts w:asciiTheme="minorHAnsi" w:hAnsiTheme="minorHAnsi"/>
          <w:color w:val="000000"/>
          <w:sz w:val="22"/>
          <w:szCs w:val="22"/>
        </w:rPr>
      </w:pPr>
    </w:p>
    <w:p w:rsidR="00637841" w:rsidRPr="00072B2C" w:rsidRDefault="003E6BED" w:rsidP="0049095B">
      <w:r w:rsidRPr="00072B2C">
        <w:rPr>
          <w:rFonts w:eastAsia="Times New Roman" w:cs="Times New Roman"/>
          <w:color w:val="000000"/>
          <w:lang w:eastAsia="fr-BE"/>
        </w:rPr>
        <w:t xml:space="preserve">Les recours </w:t>
      </w:r>
      <w:r w:rsidR="00637841" w:rsidRPr="00072B2C">
        <w:rPr>
          <w:rFonts w:eastAsia="Times New Roman" w:cs="Times New Roman"/>
          <w:color w:val="000000"/>
          <w:lang w:eastAsia="fr-BE"/>
        </w:rPr>
        <w:t xml:space="preserve">en annulation </w:t>
      </w:r>
      <w:r w:rsidRPr="00072B2C">
        <w:rPr>
          <w:rFonts w:eastAsia="Times New Roman" w:cs="Times New Roman"/>
          <w:color w:val="000000"/>
          <w:lang w:eastAsia="fr-BE"/>
        </w:rPr>
        <w:t>introduits à l’encontre de décisions de non prise en considération du CGRA fondées sur le concept de pays d’origine sûr</w:t>
      </w:r>
      <w:r w:rsidR="00637841" w:rsidRPr="00072B2C">
        <w:rPr>
          <w:rFonts w:eastAsia="Times New Roman" w:cs="Times New Roman"/>
          <w:color w:val="000000"/>
          <w:lang w:eastAsia="fr-BE"/>
        </w:rPr>
        <w:t xml:space="preserve"> (art. 57/6/1)</w:t>
      </w:r>
      <w:r w:rsidRPr="00072B2C">
        <w:rPr>
          <w:rFonts w:eastAsia="Times New Roman" w:cs="Times New Roman"/>
          <w:color w:val="000000"/>
          <w:lang w:eastAsia="fr-BE"/>
        </w:rPr>
        <w:t>, concernant une nouve</w:t>
      </w:r>
      <w:r w:rsidR="00637841" w:rsidRPr="00072B2C">
        <w:rPr>
          <w:rFonts w:eastAsia="Times New Roman" w:cs="Times New Roman"/>
          <w:color w:val="000000"/>
          <w:lang w:eastAsia="fr-BE"/>
        </w:rPr>
        <w:t>l</w:t>
      </w:r>
      <w:r w:rsidRPr="00072B2C">
        <w:rPr>
          <w:rFonts w:eastAsia="Times New Roman" w:cs="Times New Roman"/>
          <w:color w:val="000000"/>
          <w:lang w:eastAsia="fr-BE"/>
        </w:rPr>
        <w:t>le demande d’asile</w:t>
      </w:r>
      <w:r w:rsidR="00637841" w:rsidRPr="00072B2C">
        <w:rPr>
          <w:rFonts w:eastAsia="Times New Roman" w:cs="Times New Roman"/>
          <w:color w:val="000000"/>
          <w:lang w:eastAsia="fr-BE"/>
        </w:rPr>
        <w:t xml:space="preserve"> (art. 57/6/2)</w:t>
      </w:r>
      <w:r w:rsidRPr="00072B2C">
        <w:rPr>
          <w:rFonts w:eastAsia="Times New Roman" w:cs="Times New Roman"/>
          <w:color w:val="000000"/>
          <w:lang w:eastAsia="fr-BE"/>
        </w:rPr>
        <w:t xml:space="preserve">, ou </w:t>
      </w:r>
      <w:r w:rsidR="00637841" w:rsidRPr="00072B2C">
        <w:t>lorsqu’un autre Etat de l’Union européenne lui a reconnu le statut de réfugié (art. 57/6/3), sont examinés en priorité par le Conseil dans un délai de deux mois (art. 39/81, al. 1</w:t>
      </w:r>
      <w:r w:rsidR="00637841" w:rsidRPr="00072B2C">
        <w:rPr>
          <w:vertAlign w:val="superscript"/>
        </w:rPr>
        <w:t>er</w:t>
      </w:r>
      <w:r w:rsidR="00637841" w:rsidRPr="00072B2C">
        <w:t xml:space="preserve">). </w:t>
      </w:r>
    </w:p>
    <w:p w:rsidR="00072B2C" w:rsidRPr="00072B2C" w:rsidRDefault="00072B2C" w:rsidP="00CB556C">
      <w:pPr>
        <w:autoSpaceDE w:val="0"/>
        <w:autoSpaceDN w:val="0"/>
        <w:adjustRightInd w:val="0"/>
        <w:spacing w:after="0" w:line="240" w:lineRule="auto"/>
      </w:pPr>
    </w:p>
    <w:p w:rsidR="00072B2C" w:rsidRDefault="00072B2C" w:rsidP="00072B2C">
      <w:pPr>
        <w:pStyle w:val="Paragraphedeliste"/>
        <w:numPr>
          <w:ilvl w:val="0"/>
          <w:numId w:val="20"/>
        </w:numPr>
        <w:autoSpaceDE w:val="0"/>
        <w:autoSpaceDN w:val="0"/>
        <w:adjustRightInd w:val="0"/>
        <w:rPr>
          <w:rFonts w:asciiTheme="minorHAnsi" w:hAnsiTheme="minorHAnsi"/>
          <w:sz w:val="22"/>
          <w:szCs w:val="22"/>
        </w:rPr>
      </w:pPr>
      <w:r w:rsidRPr="00072B2C">
        <w:rPr>
          <w:rFonts w:asciiTheme="minorHAnsi" w:hAnsiTheme="minorHAnsi"/>
          <w:sz w:val="22"/>
          <w:szCs w:val="22"/>
        </w:rPr>
        <w:t>Envois électroniques</w:t>
      </w:r>
    </w:p>
    <w:p w:rsidR="00831269" w:rsidRPr="00072B2C" w:rsidRDefault="00831269" w:rsidP="00831269">
      <w:pPr>
        <w:pStyle w:val="Paragraphedeliste"/>
        <w:autoSpaceDE w:val="0"/>
        <w:autoSpaceDN w:val="0"/>
        <w:adjustRightInd w:val="0"/>
        <w:rPr>
          <w:rFonts w:asciiTheme="minorHAnsi" w:hAnsiTheme="minorHAnsi"/>
          <w:sz w:val="22"/>
          <w:szCs w:val="22"/>
        </w:rPr>
      </w:pPr>
      <w:bookmarkStart w:id="0" w:name="_GoBack"/>
      <w:bookmarkEnd w:id="0"/>
    </w:p>
    <w:p w:rsidR="002B1824" w:rsidRPr="00072B2C" w:rsidRDefault="00637841" w:rsidP="007D7783">
      <w:pPr>
        <w:autoSpaceDE w:val="0"/>
        <w:autoSpaceDN w:val="0"/>
        <w:adjustRightInd w:val="0"/>
        <w:spacing w:after="0"/>
        <w:rPr>
          <w:rFonts w:cs="HelveticaLTStd-Roman"/>
        </w:rPr>
      </w:pPr>
      <w:r w:rsidRPr="00072B2C">
        <w:t xml:space="preserve">Dans le cadre de la procédure d’annulation, il est précisé que la note d’observation introduite par lettre recommandée ou porteur doit être adressée en copie par courrier électronique dans le même délai de 8 jours suivant la notification du recours (art. 39/81, al. 2). En outre, </w:t>
      </w:r>
      <w:r w:rsidRPr="00072B2C">
        <w:rPr>
          <w:rFonts w:eastAsia="Times New Roman" w:cs="Times New Roman"/>
          <w:color w:val="000000"/>
          <w:lang w:eastAsia="fr-BE"/>
        </w:rPr>
        <w:t xml:space="preserve">Sous peine d'irrecevabilité du mémoire de synthèse et si la partie requérante est assistée par un avocat, une copie du mémoire de synthèse est envoyée dans </w:t>
      </w:r>
      <w:r w:rsidR="00904F89" w:rsidRPr="00072B2C">
        <w:rPr>
          <w:rFonts w:eastAsia="Times New Roman" w:cs="Times New Roman"/>
          <w:color w:val="000000"/>
          <w:lang w:eastAsia="fr-BE"/>
        </w:rPr>
        <w:t>les 15 jours</w:t>
      </w:r>
      <w:r w:rsidRPr="00072B2C">
        <w:rPr>
          <w:rFonts w:eastAsia="Times New Roman" w:cs="Times New Roman"/>
          <w:color w:val="000000"/>
          <w:lang w:eastAsia="fr-BE"/>
        </w:rPr>
        <w:t xml:space="preserve"> par courrier électronique et selon les modalités prévues par un arrêté royal. Le greffe fait expressément mention de cette prescription sur la notification</w:t>
      </w:r>
      <w:r w:rsidR="00904F89" w:rsidRPr="00072B2C">
        <w:rPr>
          <w:rFonts w:eastAsia="Times New Roman" w:cs="Times New Roman"/>
          <w:color w:val="000000"/>
          <w:lang w:eastAsia="fr-BE"/>
        </w:rPr>
        <w:t xml:space="preserve"> (art.39/81, al. 8)</w:t>
      </w:r>
      <w:r w:rsidRPr="00072B2C">
        <w:rPr>
          <w:rFonts w:eastAsia="Times New Roman" w:cs="Times New Roman"/>
          <w:color w:val="000000"/>
          <w:lang w:eastAsia="fr-BE"/>
        </w:rPr>
        <w:t>.</w:t>
      </w:r>
      <w:r w:rsidR="00CB556C" w:rsidRPr="00072B2C">
        <w:rPr>
          <w:rFonts w:cs="HelveticaLTStd-Roman"/>
        </w:rPr>
        <w:t xml:space="preserve"> Un manquement à cette obligation donnera lieu </w:t>
      </w:r>
      <w:r w:rsidR="00CB556C" w:rsidRPr="00072B2C">
        <w:rPr>
          <w:rFonts w:cs="HelveticaLTStd-Roman"/>
        </w:rPr>
        <w:lastRenderedPageBreak/>
        <w:t>à la procédure normale de régularisation de la requête, ce à la demande du greffe.</w:t>
      </w:r>
    </w:p>
    <w:p w:rsidR="0030342B" w:rsidRPr="00072B2C" w:rsidRDefault="0030342B" w:rsidP="007D7783">
      <w:pPr>
        <w:autoSpaceDE w:val="0"/>
        <w:autoSpaceDN w:val="0"/>
        <w:adjustRightInd w:val="0"/>
        <w:spacing w:after="0"/>
        <w:rPr>
          <w:rFonts w:cs="HelveticaLTStd-Roman"/>
        </w:rPr>
      </w:pPr>
    </w:p>
    <w:p w:rsidR="00CB556C" w:rsidRPr="00072B2C" w:rsidRDefault="00072B2C" w:rsidP="00072B2C">
      <w:pPr>
        <w:pStyle w:val="Paragraphedeliste"/>
        <w:numPr>
          <w:ilvl w:val="0"/>
          <w:numId w:val="20"/>
        </w:numPr>
        <w:autoSpaceDE w:val="0"/>
        <w:autoSpaceDN w:val="0"/>
        <w:adjustRightInd w:val="0"/>
        <w:rPr>
          <w:rFonts w:asciiTheme="minorHAnsi" w:hAnsiTheme="minorHAnsi" w:cs="HelveticaLTStd-Roman"/>
          <w:sz w:val="22"/>
          <w:szCs w:val="22"/>
        </w:rPr>
      </w:pPr>
      <w:r w:rsidRPr="00072B2C">
        <w:rPr>
          <w:rFonts w:asciiTheme="minorHAnsi" w:hAnsiTheme="minorHAnsi" w:cs="HelveticaLTStd-Roman"/>
          <w:sz w:val="22"/>
          <w:szCs w:val="22"/>
        </w:rPr>
        <w:t>Moratoire à l’éloignement et demande de suspension d’extrême urgence</w:t>
      </w:r>
    </w:p>
    <w:p w:rsidR="00072B2C" w:rsidRPr="00072B2C" w:rsidRDefault="00072B2C" w:rsidP="00CB556C">
      <w:pPr>
        <w:autoSpaceDE w:val="0"/>
        <w:autoSpaceDN w:val="0"/>
        <w:adjustRightInd w:val="0"/>
        <w:spacing w:after="0" w:line="240" w:lineRule="auto"/>
        <w:rPr>
          <w:rFonts w:cs="HelveticaLTStd-Roman"/>
        </w:rPr>
      </w:pPr>
    </w:p>
    <w:p w:rsidR="003408A0" w:rsidRPr="00072B2C" w:rsidRDefault="002B1824" w:rsidP="007D7783">
      <w:pPr>
        <w:rPr>
          <w:rFonts w:eastAsia="Times New Roman" w:cs="Times New Roman"/>
          <w:lang w:eastAsia="fr-BE"/>
        </w:rPr>
      </w:pPr>
      <w:r w:rsidRPr="00072B2C">
        <w:rPr>
          <w:rFonts w:eastAsia="Times New Roman" w:cs="Times New Roman"/>
          <w:lang w:eastAsia="fr-BE"/>
        </w:rPr>
        <w:t xml:space="preserve">La suspension de l’exécution forcée d’une mesure d’éloignement dont l’exécution est imminente </w:t>
      </w:r>
      <w:r w:rsidR="002B10B7" w:rsidRPr="00072B2C">
        <w:rPr>
          <w:rFonts w:eastAsia="Times New Roman" w:cs="Times New Roman"/>
          <w:lang w:eastAsia="fr-BE"/>
        </w:rPr>
        <w:t>doit être</w:t>
      </w:r>
      <w:r w:rsidRPr="00072B2C">
        <w:rPr>
          <w:rFonts w:eastAsia="Times New Roman" w:cs="Times New Roman"/>
          <w:lang w:eastAsia="fr-BE"/>
        </w:rPr>
        <w:t xml:space="preserve"> introduite dans les trois jours ouvrables de la notification de la décision (art. 39/82, §4). Auparavant, le délai était de cinq jours, sans qu’il puisse être inférieur à trois jours ouvrables.</w:t>
      </w:r>
      <w:r w:rsidR="002B10B7" w:rsidRPr="00072B2C">
        <w:rPr>
          <w:rFonts w:cs="HelveticaLTStd-Roman"/>
        </w:rPr>
        <w:t xml:space="preserve"> </w:t>
      </w:r>
      <w:r w:rsidR="003408A0" w:rsidRPr="00072B2C">
        <w:rPr>
          <w:rFonts w:eastAsia="Times New Roman" w:cs="Times New Roman"/>
          <w:lang w:eastAsia="fr-BE"/>
        </w:rPr>
        <w:t xml:space="preserve">Par ailleurs, Il est prévu que, sauf accord de l’intéressé, il ne sera procédé à l’exécution forcée de la mesure d’éloignement qu’au plus tôt trois jours ouvrables après la notification de la mesure, contre 5 jours auparavant (art. 39/83). </w:t>
      </w:r>
    </w:p>
    <w:p w:rsidR="002B1824" w:rsidRPr="00072B2C" w:rsidRDefault="002B10B7" w:rsidP="007D7783">
      <w:pPr>
        <w:autoSpaceDE w:val="0"/>
        <w:autoSpaceDN w:val="0"/>
        <w:adjustRightInd w:val="0"/>
        <w:spacing w:after="0"/>
        <w:rPr>
          <w:rFonts w:cs="HelveticaLTStd-Roman"/>
        </w:rPr>
      </w:pPr>
      <w:r w:rsidRPr="00072B2C">
        <w:rPr>
          <w:rFonts w:cs="HelveticaLTStd-Roman"/>
        </w:rPr>
        <w:t>En ce qui concerne l’effet suspensif du recours</w:t>
      </w:r>
      <w:r w:rsidR="003408A0" w:rsidRPr="00072B2C">
        <w:rPr>
          <w:rFonts w:cs="HelveticaLTStd-Roman"/>
        </w:rPr>
        <w:t>, les travaux préparatoires rappellent qu’</w:t>
      </w:r>
      <w:r w:rsidRPr="00072B2C">
        <w:rPr>
          <w:rFonts w:cs="HelveticaLTStd-Roman"/>
        </w:rPr>
        <w:t xml:space="preserve"> </w:t>
      </w:r>
      <w:r w:rsidR="003408A0" w:rsidRPr="00072B2C">
        <w:rPr>
          <w:rFonts w:cs="HelveticaLTStd-Roman"/>
        </w:rPr>
        <w:t>« </w:t>
      </w:r>
      <w:r w:rsidR="007D7783">
        <w:rPr>
          <w:rFonts w:cs="HelveticaLTStd-Roman"/>
          <w:i/>
        </w:rPr>
        <w:t>I</w:t>
      </w:r>
      <w:r w:rsidRPr="007D7783">
        <w:rPr>
          <w:rFonts w:cs="HelveticaLTStd-Roman"/>
          <w:i/>
        </w:rPr>
        <w:t>l résulte de la lecture combinée de l’article 13 de la CEDH et des articles 39/83 et 39/82, § 4, alinéa 2, de la loi du 15 décembre 1980, tels qu’interprétés dans la jurispr</w:t>
      </w:r>
      <w:r w:rsidR="003408A0" w:rsidRPr="007D7783">
        <w:rPr>
          <w:rFonts w:cs="HelveticaLTStd-Roman"/>
          <w:i/>
        </w:rPr>
        <w:t>udence fi</w:t>
      </w:r>
      <w:r w:rsidRPr="007D7783">
        <w:rPr>
          <w:rFonts w:cs="HelveticaLTStd-Roman"/>
          <w:i/>
        </w:rPr>
        <w:t xml:space="preserve">xée par les arrêts du 17 février 2011 de l’assemblée générale du Conseil, que l’exécution de la décision d’éloignement est suspendue de plein droit pendant trois jours ouvrables après la </w:t>
      </w:r>
      <w:r w:rsidR="003408A0" w:rsidRPr="007D7783">
        <w:rPr>
          <w:rFonts w:cs="HelveticaLTStd-Roman"/>
          <w:i/>
        </w:rPr>
        <w:t>notifi</w:t>
      </w:r>
      <w:r w:rsidRPr="007D7783">
        <w:rPr>
          <w:rFonts w:cs="HelveticaLTStd-Roman"/>
          <w:i/>
        </w:rPr>
        <w:t xml:space="preserve">cation, et que toutes les demandes de suspension d’extrême urgence (et donc pas uniquement les recours relevant de l’article 13 de la CEDH) introduites durant le délai de recours contre une mesure d’éloignement </w:t>
      </w:r>
      <w:r w:rsidRPr="007D7783">
        <w:rPr>
          <w:rFonts w:cs="HelveticaLTStd-Roman"/>
          <w:i/>
        </w:rPr>
        <w:lastRenderedPageBreak/>
        <w:t>imminente, sont suspensives de plein droit jusqu’à ce que le Conseil se prononce</w:t>
      </w:r>
      <w:r w:rsidR="003408A0" w:rsidRPr="00072B2C">
        <w:rPr>
          <w:rFonts w:cs="HelveticaLTStd-Roman"/>
        </w:rPr>
        <w:t> »</w:t>
      </w:r>
      <w:r w:rsidR="003408A0" w:rsidRPr="00072B2C">
        <w:rPr>
          <w:rStyle w:val="Appelnotedebasdep"/>
          <w:rFonts w:cs="HelveticaLTStd-Roman"/>
        </w:rPr>
        <w:footnoteReference w:id="27"/>
      </w:r>
      <w:r w:rsidRPr="00072B2C">
        <w:rPr>
          <w:rFonts w:cs="HelveticaLTStd-Roman"/>
        </w:rPr>
        <w:t>.</w:t>
      </w:r>
    </w:p>
    <w:p w:rsidR="002B10B7" w:rsidRPr="00072B2C" w:rsidRDefault="002B10B7" w:rsidP="002B10B7">
      <w:pPr>
        <w:autoSpaceDE w:val="0"/>
        <w:autoSpaceDN w:val="0"/>
        <w:adjustRightInd w:val="0"/>
        <w:spacing w:after="0" w:line="240" w:lineRule="auto"/>
        <w:rPr>
          <w:rFonts w:cs="HelveticaLTStd-Roman"/>
        </w:rPr>
      </w:pPr>
    </w:p>
    <w:p w:rsidR="00072B2C" w:rsidRPr="00072B2C" w:rsidRDefault="00072B2C" w:rsidP="00072B2C">
      <w:pPr>
        <w:pStyle w:val="Paragraphedeliste"/>
        <w:numPr>
          <w:ilvl w:val="0"/>
          <w:numId w:val="21"/>
        </w:numPr>
        <w:rPr>
          <w:rFonts w:asciiTheme="minorHAnsi" w:hAnsiTheme="minorHAnsi"/>
          <w:sz w:val="22"/>
          <w:szCs w:val="22"/>
        </w:rPr>
      </w:pPr>
      <w:r w:rsidRPr="00072B2C">
        <w:rPr>
          <w:rFonts w:asciiTheme="minorHAnsi" w:hAnsiTheme="minorHAnsi"/>
          <w:sz w:val="22"/>
          <w:szCs w:val="22"/>
        </w:rPr>
        <w:t xml:space="preserve">Entrées en vigueur </w:t>
      </w:r>
    </w:p>
    <w:p w:rsidR="00072B2C" w:rsidRPr="00072B2C" w:rsidRDefault="00072B2C" w:rsidP="00072B2C">
      <w:pPr>
        <w:pStyle w:val="Paragraphedeliste"/>
        <w:rPr>
          <w:rFonts w:asciiTheme="minorHAnsi" w:hAnsiTheme="minorHAnsi"/>
          <w:sz w:val="22"/>
          <w:szCs w:val="22"/>
        </w:rPr>
      </w:pPr>
    </w:p>
    <w:p w:rsidR="00F96467" w:rsidRPr="00072B2C" w:rsidRDefault="00F96467" w:rsidP="0049095B">
      <w:pPr>
        <w:rPr>
          <w:rFonts w:eastAsia="Times New Roman" w:cs="Times New Roman"/>
          <w:color w:val="000000"/>
          <w:lang w:eastAsia="fr-BE"/>
        </w:rPr>
      </w:pPr>
      <w:r w:rsidRPr="00072B2C">
        <w:rPr>
          <w:rFonts w:eastAsia="Times New Roman" w:cs="Times New Roman"/>
          <w:lang w:eastAsia="fr-BE"/>
        </w:rPr>
        <w:t xml:space="preserve">En ce qui concerne l’entrée en vigueur, les dispositions relatives aux communications par courrier </w:t>
      </w:r>
      <w:r w:rsidRPr="00072B2C">
        <w:rPr>
          <w:rFonts w:eastAsia="Times New Roman" w:cs="Times New Roman"/>
          <w:color w:val="000000"/>
          <w:lang w:eastAsia="fr-BE"/>
        </w:rPr>
        <w:t>électronique entre en vigueur le 1</w:t>
      </w:r>
      <w:r w:rsidRPr="00072B2C">
        <w:rPr>
          <w:rFonts w:eastAsia="Times New Roman" w:cs="Times New Roman"/>
          <w:color w:val="000000"/>
          <w:vertAlign w:val="superscript"/>
          <w:lang w:eastAsia="fr-BE"/>
        </w:rPr>
        <w:t>er</w:t>
      </w:r>
      <w:r w:rsidRPr="00072B2C">
        <w:rPr>
          <w:rFonts w:eastAsia="Times New Roman" w:cs="Times New Roman"/>
          <w:color w:val="000000"/>
          <w:lang w:eastAsia="fr-BE"/>
        </w:rPr>
        <w:t xml:space="preserve"> février 2014.</w:t>
      </w:r>
    </w:p>
    <w:p w:rsidR="00F96467" w:rsidRPr="00072B2C" w:rsidRDefault="00F96467" w:rsidP="0049095B">
      <w:pPr>
        <w:rPr>
          <w:rFonts w:eastAsia="Times New Roman" w:cs="Times New Roman"/>
          <w:color w:val="000000"/>
          <w:lang w:eastAsia="fr-BE"/>
        </w:rPr>
      </w:pPr>
      <w:r w:rsidRPr="00072B2C">
        <w:rPr>
          <w:rFonts w:eastAsia="Times New Roman" w:cs="Times New Roman"/>
          <w:color w:val="000000"/>
          <w:lang w:eastAsia="fr-BE"/>
        </w:rPr>
        <w:t>Les dispositions relatives à l’interprète et l’emploi des langues, à l’examen des éléments nouveaux et à la suspension d’une mesure d’éloignement en cas de demande de suspension d’extrême urgence dans les 3 jours ouvrables, sont applicables aux recours pour lesquels, au 1</w:t>
      </w:r>
      <w:r w:rsidRPr="00072B2C">
        <w:rPr>
          <w:rFonts w:eastAsia="Times New Roman" w:cs="Times New Roman"/>
          <w:color w:val="000000"/>
          <w:vertAlign w:val="superscript"/>
          <w:lang w:eastAsia="fr-BE"/>
        </w:rPr>
        <w:t>er</w:t>
      </w:r>
      <w:r w:rsidRPr="00072B2C">
        <w:rPr>
          <w:rFonts w:eastAsia="Times New Roman" w:cs="Times New Roman"/>
          <w:color w:val="000000"/>
          <w:lang w:eastAsia="fr-BE"/>
        </w:rPr>
        <w:t xml:space="preserve"> septembre 2013, l’ordonnance de fixation d’audience n’a pas encore été notifiée.</w:t>
      </w:r>
    </w:p>
    <w:p w:rsidR="00CC0A70" w:rsidRPr="00072B2C" w:rsidRDefault="000F3D2E" w:rsidP="0049095B">
      <w:pPr>
        <w:rPr>
          <w:rFonts w:eastAsia="Times New Roman" w:cs="Times New Roman"/>
          <w:color w:val="000000"/>
          <w:lang w:eastAsia="fr-BE"/>
        </w:rPr>
      </w:pPr>
      <w:r w:rsidRPr="00072B2C">
        <w:rPr>
          <w:rFonts w:eastAsia="Times New Roman" w:cs="Times New Roman"/>
          <w:color w:val="000000"/>
          <w:lang w:eastAsia="fr-BE"/>
        </w:rPr>
        <w:t>Les dispositions concernant le délai de transmission de la note d’observation dans le cadre de l</w:t>
      </w:r>
      <w:r w:rsidR="00CC0A70" w:rsidRPr="00072B2C">
        <w:rPr>
          <w:rFonts w:eastAsia="Times New Roman" w:cs="Times New Roman"/>
          <w:color w:val="000000"/>
          <w:lang w:eastAsia="fr-BE"/>
        </w:rPr>
        <w:t>a procédure ordinaire sont applicables aux recours pour lesquels le greffe n’a pas encore envoyé une copie du recours à la partie défenderesse au 1</w:t>
      </w:r>
      <w:r w:rsidR="00CC0A70" w:rsidRPr="00072B2C">
        <w:rPr>
          <w:rFonts w:eastAsia="Times New Roman" w:cs="Times New Roman"/>
          <w:color w:val="000000"/>
          <w:vertAlign w:val="superscript"/>
          <w:lang w:eastAsia="fr-BE"/>
        </w:rPr>
        <w:t>er</w:t>
      </w:r>
      <w:r w:rsidR="00CC0A70" w:rsidRPr="00072B2C">
        <w:rPr>
          <w:rFonts w:eastAsia="Times New Roman" w:cs="Times New Roman"/>
          <w:color w:val="000000"/>
          <w:lang w:eastAsia="fr-BE"/>
        </w:rPr>
        <w:t xml:space="preserve"> septembre 2013.</w:t>
      </w:r>
    </w:p>
    <w:p w:rsidR="00E87EC3" w:rsidRPr="00072B2C" w:rsidRDefault="00CC0A70" w:rsidP="0049095B">
      <w:pPr>
        <w:rPr>
          <w:rFonts w:eastAsia="Times New Roman" w:cs="Times New Roman"/>
          <w:color w:val="000000"/>
          <w:lang w:eastAsia="fr-BE"/>
        </w:rPr>
      </w:pPr>
      <w:r w:rsidRPr="00072B2C">
        <w:rPr>
          <w:rFonts w:eastAsia="Times New Roman" w:cs="Times New Roman"/>
          <w:color w:val="000000"/>
          <w:lang w:eastAsia="fr-BE"/>
        </w:rPr>
        <w:t xml:space="preserve">Les articles relatifs à la détention des familles </w:t>
      </w:r>
      <w:r w:rsidR="00960379" w:rsidRPr="00072B2C">
        <w:rPr>
          <w:rFonts w:eastAsia="Times New Roman" w:cs="Times New Roman"/>
          <w:color w:val="000000"/>
          <w:lang w:eastAsia="fr-BE"/>
        </w:rPr>
        <w:t>et au moratoire de trois jours à l’éloignement, la loi s’applique pour les décisions attaquées qui ont été notifiées après le 1</w:t>
      </w:r>
      <w:r w:rsidR="00960379" w:rsidRPr="00072B2C">
        <w:rPr>
          <w:rFonts w:eastAsia="Times New Roman" w:cs="Times New Roman"/>
          <w:color w:val="000000"/>
          <w:vertAlign w:val="superscript"/>
          <w:lang w:eastAsia="fr-BE"/>
        </w:rPr>
        <w:t>er</w:t>
      </w:r>
      <w:r w:rsidR="00960379" w:rsidRPr="00072B2C">
        <w:rPr>
          <w:rFonts w:eastAsia="Times New Roman" w:cs="Times New Roman"/>
          <w:color w:val="000000"/>
          <w:lang w:eastAsia="fr-BE"/>
        </w:rPr>
        <w:t xml:space="preserve"> septembre.</w:t>
      </w:r>
      <w:r w:rsidR="00637841" w:rsidRPr="00072B2C">
        <w:rPr>
          <w:rFonts w:eastAsia="Times New Roman" w:cs="Times New Roman"/>
          <w:color w:val="000000"/>
          <w:lang w:eastAsia="fr-BE"/>
        </w:rPr>
        <w:br/>
      </w:r>
    </w:p>
    <w:p w:rsidR="00D43758" w:rsidRPr="00072B2C" w:rsidRDefault="00D43758" w:rsidP="0049095B">
      <w:pPr>
        <w:rPr>
          <w:rFonts w:eastAsia="Times New Roman" w:cs="Times New Roman"/>
          <w:color w:val="000000"/>
          <w:lang w:eastAsia="fr-BE"/>
        </w:rPr>
      </w:pPr>
    </w:p>
    <w:p w:rsidR="004E294B" w:rsidRPr="00072B2C" w:rsidRDefault="004E294B" w:rsidP="0049095B">
      <w:pPr>
        <w:rPr>
          <w:rFonts w:eastAsia="Times New Roman" w:cs="Times New Roman"/>
          <w:color w:val="000000"/>
          <w:lang w:eastAsia="fr-BE"/>
        </w:rPr>
      </w:pPr>
    </w:p>
    <w:p w:rsidR="0017157B" w:rsidRPr="00072B2C" w:rsidRDefault="003F7F2E" w:rsidP="0049095B">
      <w:r w:rsidRPr="00072B2C">
        <w:rPr>
          <w:rFonts w:eastAsia="Times New Roman" w:cs="Times New Roman"/>
          <w:color w:val="000000"/>
          <w:lang w:eastAsia="fr-BE"/>
        </w:rPr>
        <w:br/>
      </w:r>
    </w:p>
    <w:p w:rsidR="006451E0" w:rsidRPr="00072B2C" w:rsidRDefault="006451E0" w:rsidP="0049095B"/>
    <w:p w:rsidR="008E5CBA" w:rsidRPr="00072B2C" w:rsidRDefault="008E5CBA"/>
    <w:sectPr w:rsidR="008E5CBA" w:rsidRPr="00072B2C" w:rsidSect="00B7502E">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92506" w:rsidRDefault="00D92506" w:rsidP="006451E0">
      <w:pPr>
        <w:spacing w:after="0" w:line="240" w:lineRule="auto"/>
      </w:pPr>
      <w:r>
        <w:separator/>
      </w:r>
    </w:p>
  </w:endnote>
  <w:endnote w:type="continuationSeparator" w:id="0">
    <w:p w:rsidR="00D92506" w:rsidRDefault="00D92506" w:rsidP="006451E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EUAlbertina">
    <w:altName w:val="EU Albertina"/>
    <w:panose1 w:val="00000000000000000000"/>
    <w:charset w:val="00"/>
    <w:family w:val="roman"/>
    <w:notTrueType/>
    <w:pitch w:val="default"/>
    <w:sig w:usb0="00000003" w:usb1="00000000" w:usb2="00000000" w:usb3="00000000" w:csb0="00000001" w:csb1="00000000"/>
  </w:font>
  <w:font w:name="HelveticaLTStd-Roman">
    <w:panose1 w:val="00000000000000000000"/>
    <w:charset w:val="00"/>
    <w:family w:val="auto"/>
    <w:notTrueType/>
    <w:pitch w:val="default"/>
    <w:sig w:usb0="00000003" w:usb1="00000000" w:usb2="00000000" w:usb3="00000000" w:csb0="00000001" w:csb1="00000000"/>
  </w:font>
  <w:font w:name="HelveticaLTStd-Bold">
    <w:panose1 w:val="00000000000000000000"/>
    <w:charset w:val="00"/>
    <w:family w:val="auto"/>
    <w:notTrueType/>
    <w:pitch w:val="default"/>
    <w:sig w:usb0="00000003" w:usb1="00000000" w:usb2="00000000" w:usb3="00000000" w:csb0="00000001" w:csb1="00000000"/>
  </w:font>
  <w:font w:name="+mn-ea">
    <w:panose1 w:val="00000000000000000000"/>
    <w:charset w:val="00"/>
    <w:family w:val="roman"/>
    <w:notTrueType/>
    <w:pitch w:val="default"/>
    <w:sig w:usb0="00000000" w:usb1="00000000" w:usb2="00000000" w:usb3="00000000" w:csb0="00000000" w:csb1="00000000"/>
  </w:font>
  <w:font w:name="+mn-cs">
    <w:panose1 w:val="00000000000000000000"/>
    <w:charset w:val="00"/>
    <w:family w:val="roman"/>
    <w:notTrueType/>
    <w:pitch w:val="default"/>
    <w:sig w:usb0="00000000" w:usb1="00000000" w:usb2="00000000" w:usb3="00000000" w:csb0="00000000" w:csb1="00000000"/>
  </w:font>
  <w:font w:name="Tahoma">
    <w:panose1 w:val="020B0604030504040204"/>
    <w:charset w:val="00"/>
    <w:family w:val="swiss"/>
    <w:pitch w:val="variable"/>
    <w:sig w:usb0="E1002EFF" w:usb1="C000605B" w:usb2="00000029" w:usb3="00000000" w:csb0="000101FF" w:csb1="00000000"/>
  </w:font>
  <w:font w:name="HelveticaLTStd-Obl">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92506" w:rsidRDefault="00D92506" w:rsidP="006451E0">
      <w:pPr>
        <w:spacing w:after="0" w:line="240" w:lineRule="auto"/>
      </w:pPr>
      <w:r>
        <w:separator/>
      </w:r>
    </w:p>
  </w:footnote>
  <w:footnote w:type="continuationSeparator" w:id="0">
    <w:p w:rsidR="00D92506" w:rsidRDefault="00D92506" w:rsidP="006451E0">
      <w:pPr>
        <w:spacing w:after="0" w:line="240" w:lineRule="auto"/>
      </w:pPr>
      <w:r>
        <w:continuationSeparator/>
      </w:r>
    </w:p>
  </w:footnote>
  <w:footnote w:id="1">
    <w:p w:rsidR="00B709E5" w:rsidRPr="000D3045" w:rsidRDefault="00B709E5" w:rsidP="00B709E5">
      <w:pPr>
        <w:pStyle w:val="Default"/>
        <w:rPr>
          <w:rFonts w:asciiTheme="minorHAnsi" w:hAnsiTheme="minorHAnsi"/>
          <w:sz w:val="20"/>
          <w:szCs w:val="20"/>
        </w:rPr>
      </w:pPr>
      <w:r w:rsidRPr="000D3045">
        <w:rPr>
          <w:rStyle w:val="Appelnotedebasdep"/>
          <w:rFonts w:asciiTheme="minorHAnsi" w:hAnsiTheme="minorHAnsi"/>
          <w:sz w:val="20"/>
          <w:szCs w:val="20"/>
        </w:rPr>
        <w:footnoteRef/>
      </w:r>
      <w:r w:rsidRPr="000D3045">
        <w:rPr>
          <w:rFonts w:asciiTheme="minorHAnsi" w:hAnsiTheme="minorHAnsi"/>
          <w:sz w:val="20"/>
          <w:szCs w:val="20"/>
        </w:rPr>
        <w:t xml:space="preserve"> </w:t>
      </w:r>
      <w:r w:rsidRPr="000D3045">
        <w:rPr>
          <w:rFonts w:asciiTheme="minorHAnsi" w:hAnsiTheme="minorHAnsi"/>
          <w:bCs/>
          <w:sz w:val="20"/>
          <w:szCs w:val="20"/>
        </w:rPr>
        <w:t xml:space="preserve">DIRECTIVE 2011/95/UE DU PARLEMENT EUROPÉEN ET DU CONSEIL du 13 décembre 2011 concernant les normes relatives aux conditions que doivent remplir les ressortissants des pays tiers ou les apatrides pour pouvoir bénéficier d’une protection internationale, à un statut uniforme pour les réfugiés ou les personnes pouvant bénéficier de la protection subsidiaire, et au contenu de cette protection </w:t>
      </w:r>
    </w:p>
    <w:p w:rsidR="00B709E5" w:rsidRPr="00CD1F32" w:rsidRDefault="00B709E5">
      <w:pPr>
        <w:pStyle w:val="Notedebasdepage"/>
      </w:pPr>
      <w:r w:rsidRPr="000D3045">
        <w:rPr>
          <w:rFonts w:cs="EUAlbertina"/>
          <w:bCs/>
          <w:color w:val="000000"/>
        </w:rPr>
        <w:t>(</w:t>
      </w:r>
      <w:r w:rsidRPr="00CD1F32">
        <w:rPr>
          <w:rFonts w:cs="EUAlbertina"/>
          <w:bCs/>
          <w:color w:val="000000"/>
        </w:rPr>
        <w:t>refonte).</w:t>
      </w:r>
    </w:p>
  </w:footnote>
  <w:footnote w:id="2">
    <w:p w:rsidR="00B709E5" w:rsidRPr="00CD1F32" w:rsidRDefault="00B709E5">
      <w:pPr>
        <w:pStyle w:val="Notedebasdepage"/>
      </w:pPr>
      <w:r w:rsidRPr="00CD1F32">
        <w:rPr>
          <w:rStyle w:val="Appelnotedebasdep"/>
        </w:rPr>
        <w:footnoteRef/>
      </w:r>
      <w:r w:rsidRPr="00CD1F32">
        <w:t xml:space="preserve"> Chambre </w:t>
      </w:r>
      <w:r w:rsidRPr="00CD1F32">
        <w:rPr>
          <w:rFonts w:cs="HelveticaLTStd-Roman"/>
        </w:rPr>
        <w:t xml:space="preserve">DOC 53 </w:t>
      </w:r>
      <w:r w:rsidRPr="00CD1F32">
        <w:rPr>
          <w:rFonts w:cs="HelveticaLTStd-Bold"/>
          <w:bCs/>
        </w:rPr>
        <w:t xml:space="preserve">2555/001, </w:t>
      </w:r>
      <w:r w:rsidRPr="00CD1F32">
        <w:t>exposé de motifs, commentaire général, p. 4.</w:t>
      </w:r>
    </w:p>
  </w:footnote>
  <w:footnote w:id="3">
    <w:p w:rsidR="00CD1F32" w:rsidRPr="00CD1F32" w:rsidRDefault="00CD1F32" w:rsidP="00CD1F32">
      <w:pPr>
        <w:rPr>
          <w:sz w:val="20"/>
          <w:szCs w:val="20"/>
        </w:rPr>
      </w:pPr>
      <w:r w:rsidRPr="00CD1F32">
        <w:rPr>
          <w:rStyle w:val="Appelnotedebasdep"/>
          <w:sz w:val="20"/>
          <w:szCs w:val="20"/>
        </w:rPr>
        <w:footnoteRef/>
      </w:r>
      <w:r w:rsidRPr="00CD1F32">
        <w:rPr>
          <w:sz w:val="20"/>
          <w:szCs w:val="20"/>
        </w:rPr>
        <w:t xml:space="preserve"> </w:t>
      </w:r>
      <w:r w:rsidRPr="00CD1F32">
        <w:rPr>
          <w:rFonts w:eastAsia="+mn-ea" w:cs="+mn-cs"/>
          <w:color w:val="000000"/>
          <w:kern w:val="24"/>
          <w:sz w:val="20"/>
          <w:szCs w:val="20"/>
        </w:rPr>
        <w:t>Son entrée en vigueur est modalisée, telle qu’il sera explicité ci-dessous.</w:t>
      </w:r>
    </w:p>
    <w:p w:rsidR="00CD1F32" w:rsidRDefault="00CD1F32">
      <w:pPr>
        <w:pStyle w:val="Notedebasdepage"/>
      </w:pPr>
    </w:p>
  </w:footnote>
  <w:footnote w:id="4">
    <w:p w:rsidR="00A902AB" w:rsidRDefault="00BC42EF" w:rsidP="00A902AB">
      <w:pPr>
        <w:pStyle w:val="CM1"/>
        <w:spacing w:before="200" w:after="200"/>
        <w:rPr>
          <w:rFonts w:asciiTheme="minorHAnsi" w:hAnsiTheme="minorHAnsi" w:cs="EUAlbertina"/>
          <w:bCs/>
          <w:color w:val="000000"/>
          <w:sz w:val="20"/>
          <w:szCs w:val="20"/>
        </w:rPr>
      </w:pPr>
      <w:r w:rsidRPr="000D3045">
        <w:rPr>
          <w:rStyle w:val="Appelnotedebasdep"/>
          <w:rFonts w:asciiTheme="minorHAnsi" w:hAnsiTheme="minorHAnsi"/>
          <w:sz w:val="20"/>
          <w:szCs w:val="20"/>
        </w:rPr>
        <w:footnoteRef/>
      </w:r>
      <w:r w:rsidRPr="000D3045">
        <w:rPr>
          <w:rFonts w:asciiTheme="minorHAnsi" w:hAnsiTheme="minorHAnsi"/>
          <w:sz w:val="20"/>
          <w:szCs w:val="20"/>
        </w:rPr>
        <w:t xml:space="preserve"> </w:t>
      </w:r>
      <w:r w:rsidRPr="000D3045">
        <w:rPr>
          <w:rFonts w:asciiTheme="minorHAnsi" w:hAnsiTheme="minorHAnsi" w:cs="EUAlbertina"/>
          <w:i/>
          <w:iCs/>
          <w:color w:val="000000"/>
          <w:sz w:val="20"/>
          <w:szCs w:val="20"/>
        </w:rPr>
        <w:t xml:space="preserve">Article 8 </w:t>
      </w:r>
      <w:r w:rsidR="00A902AB">
        <w:rPr>
          <w:rFonts w:asciiTheme="minorHAnsi" w:hAnsiTheme="minorHAnsi" w:cs="EUAlbertina"/>
          <w:i/>
          <w:iCs/>
          <w:color w:val="000000"/>
          <w:sz w:val="20"/>
          <w:szCs w:val="20"/>
        </w:rPr>
        <w:t xml:space="preserve">- </w:t>
      </w:r>
      <w:r w:rsidRPr="000D3045">
        <w:rPr>
          <w:rFonts w:asciiTheme="minorHAnsi" w:hAnsiTheme="minorHAnsi" w:cs="EUAlbertina"/>
          <w:bCs/>
          <w:color w:val="000000"/>
          <w:sz w:val="20"/>
          <w:szCs w:val="20"/>
        </w:rPr>
        <w:t xml:space="preserve">Protection à l’intérieur du pays </w:t>
      </w:r>
    </w:p>
    <w:p w:rsidR="00BC42EF" w:rsidRPr="000D3045" w:rsidRDefault="00BC42EF" w:rsidP="00A902AB">
      <w:pPr>
        <w:pStyle w:val="CM1"/>
        <w:spacing w:before="200" w:after="200"/>
        <w:rPr>
          <w:rFonts w:asciiTheme="minorHAnsi" w:hAnsiTheme="minorHAnsi" w:cs="EUAlbertina"/>
          <w:color w:val="000000"/>
          <w:sz w:val="20"/>
          <w:szCs w:val="20"/>
        </w:rPr>
      </w:pPr>
      <w:r w:rsidRPr="000D3045">
        <w:rPr>
          <w:rFonts w:asciiTheme="minorHAnsi" w:hAnsiTheme="minorHAnsi" w:cs="EUAlbertina"/>
          <w:color w:val="000000"/>
          <w:sz w:val="20"/>
          <w:szCs w:val="20"/>
        </w:rPr>
        <w:t xml:space="preserve">1. Dans le cadre de l’évaluation de la demande de protection internationale, les États membres peuvent déterminer qu’un demandeur n’a pas besoin de protection internationale lorsque dans une partie du pays d’origine: </w:t>
      </w:r>
    </w:p>
    <w:p w:rsidR="00BC42EF" w:rsidRPr="000D3045" w:rsidRDefault="00BC42EF" w:rsidP="00BC42EF">
      <w:pPr>
        <w:pStyle w:val="CM4"/>
        <w:spacing w:before="60" w:after="60"/>
        <w:rPr>
          <w:rFonts w:asciiTheme="minorHAnsi" w:hAnsiTheme="minorHAnsi" w:cs="EUAlbertina"/>
          <w:color w:val="000000"/>
          <w:sz w:val="20"/>
          <w:szCs w:val="20"/>
        </w:rPr>
      </w:pPr>
      <w:r w:rsidRPr="000D3045">
        <w:rPr>
          <w:rFonts w:asciiTheme="minorHAnsi" w:hAnsiTheme="minorHAnsi" w:cs="EUAlbertina"/>
          <w:color w:val="000000"/>
          <w:sz w:val="20"/>
          <w:szCs w:val="20"/>
        </w:rPr>
        <w:t xml:space="preserve">a) il n’a pas une crainte fondée d’être persécuté ou ne risque pas réellement de subir des atteintes graves; ou </w:t>
      </w:r>
    </w:p>
    <w:p w:rsidR="00BC42EF" w:rsidRPr="000D3045" w:rsidRDefault="00BC42EF" w:rsidP="00BC42EF">
      <w:pPr>
        <w:pStyle w:val="CM4"/>
        <w:spacing w:before="60" w:after="60"/>
        <w:rPr>
          <w:rFonts w:asciiTheme="minorHAnsi" w:hAnsiTheme="minorHAnsi" w:cs="EUAlbertina"/>
          <w:color w:val="000000"/>
          <w:sz w:val="20"/>
          <w:szCs w:val="20"/>
        </w:rPr>
      </w:pPr>
      <w:r w:rsidRPr="000D3045">
        <w:rPr>
          <w:rFonts w:asciiTheme="minorHAnsi" w:hAnsiTheme="minorHAnsi" w:cs="EUAlbertina"/>
          <w:color w:val="000000"/>
          <w:sz w:val="20"/>
          <w:szCs w:val="20"/>
        </w:rPr>
        <w:t xml:space="preserve">b) il a accès à une protection contre les persécutions ou les atteintes graves au sens de l’article 7, et qu’il peut, en toute sécurité et en toute légalité, effectuer le voyage vers cette partie du pays et obtenir l’autorisation d’y pénétrer et que l’on peut raisonnablement s’attendre à ce qu’il s’y établisse. </w:t>
      </w:r>
    </w:p>
    <w:p w:rsidR="00BC42EF" w:rsidRPr="000D3045" w:rsidRDefault="00BC42EF" w:rsidP="00BC42EF">
      <w:pPr>
        <w:pStyle w:val="Notedebasdepage"/>
      </w:pPr>
      <w:r w:rsidRPr="000D3045">
        <w:rPr>
          <w:rFonts w:cs="EUAlbertina"/>
          <w:color w:val="000000"/>
        </w:rPr>
        <w:t>2. Lorsqu’ils examinent si un demandeur a une crainte fondée d’être persécuté ou risque réellement de subir des atteintes graves, ou s’il a accès à une protection contre les persécutions ou les atteintes graves dans une partie du pays d’origine conformément au paragraphe 1, les États membres tiennent compte, au moment où ils statuent sur la demande, des conditions générales dans cette partie du pays et de la situation personnelle du demandeur, conformément à l’article 4. À cette fin, les États membres veillent à obtenir des informations précises et actualisées auprès de sources pertinentes, telles que le Haut-Commissariat des Nations unies pour les réfugiés et le Bureau européen d’appui en matière d’asile.</w:t>
      </w:r>
    </w:p>
  </w:footnote>
  <w:footnote w:id="5">
    <w:p w:rsidR="00693AD8" w:rsidRPr="000D3045" w:rsidRDefault="00693AD8" w:rsidP="00693AD8">
      <w:pPr>
        <w:pStyle w:val="Default"/>
        <w:rPr>
          <w:rFonts w:asciiTheme="minorHAnsi" w:hAnsiTheme="minorHAnsi"/>
          <w:sz w:val="20"/>
          <w:szCs w:val="20"/>
        </w:rPr>
      </w:pPr>
      <w:r w:rsidRPr="000D3045">
        <w:rPr>
          <w:rStyle w:val="Appelnotedebasdep"/>
          <w:rFonts w:asciiTheme="minorHAnsi" w:hAnsiTheme="minorHAnsi"/>
          <w:sz w:val="20"/>
          <w:szCs w:val="20"/>
        </w:rPr>
        <w:footnoteRef/>
      </w:r>
      <w:r w:rsidRPr="000D3045">
        <w:rPr>
          <w:rFonts w:asciiTheme="minorHAnsi" w:hAnsiTheme="minorHAnsi"/>
          <w:sz w:val="20"/>
          <w:szCs w:val="20"/>
        </w:rPr>
        <w:t xml:space="preserve"> </w:t>
      </w:r>
      <w:r w:rsidRPr="000D3045">
        <w:rPr>
          <w:rStyle w:val="lev"/>
          <w:rFonts w:asciiTheme="minorHAnsi" w:hAnsiTheme="minorHAnsi" w:cs="Tahoma"/>
          <w:b w:val="0"/>
          <w:sz w:val="20"/>
          <w:szCs w:val="20"/>
        </w:rPr>
        <w:t>Directive 2005/85/CE du Conseil du 1</w:t>
      </w:r>
      <w:r w:rsidRPr="000D3045">
        <w:rPr>
          <w:rStyle w:val="lev"/>
          <w:rFonts w:asciiTheme="minorHAnsi" w:hAnsiTheme="minorHAnsi" w:cs="Tahoma"/>
          <w:b w:val="0"/>
          <w:sz w:val="20"/>
          <w:szCs w:val="20"/>
          <w:vertAlign w:val="superscript"/>
        </w:rPr>
        <w:t>er</w:t>
      </w:r>
      <w:r w:rsidRPr="000D3045">
        <w:rPr>
          <w:rStyle w:val="lev"/>
          <w:rFonts w:asciiTheme="minorHAnsi" w:hAnsiTheme="minorHAnsi" w:cs="Tahoma"/>
          <w:b w:val="0"/>
          <w:sz w:val="20"/>
          <w:szCs w:val="20"/>
        </w:rPr>
        <w:t xml:space="preserve"> décembre 2005 relative à des normes minimales concernant la procédure d’octroi et de retrait du statut de réfugié dans les États membres,</w:t>
      </w:r>
      <w:r w:rsidRPr="000D3045">
        <w:rPr>
          <w:rStyle w:val="lev"/>
          <w:rFonts w:asciiTheme="minorHAnsi" w:hAnsiTheme="minorHAnsi" w:cs="Tahoma"/>
          <w:sz w:val="20"/>
          <w:szCs w:val="20"/>
        </w:rPr>
        <w:t xml:space="preserve"> </w:t>
      </w:r>
      <w:r w:rsidRPr="000D3045">
        <w:rPr>
          <w:rStyle w:val="Accentuation"/>
          <w:rFonts w:asciiTheme="minorHAnsi" w:hAnsiTheme="minorHAnsi" w:cs="Tahoma"/>
          <w:sz w:val="20"/>
          <w:szCs w:val="20"/>
        </w:rPr>
        <w:t xml:space="preserve">Journal officiel n° L 326 du 13/12/2005 p. 0013 – 0034. </w:t>
      </w:r>
      <w:r w:rsidRPr="000D3045">
        <w:rPr>
          <w:rStyle w:val="Accentuation"/>
          <w:rFonts w:asciiTheme="minorHAnsi" w:hAnsiTheme="minorHAnsi" w:cs="Tahoma"/>
          <w:i w:val="0"/>
          <w:sz w:val="20"/>
          <w:szCs w:val="20"/>
        </w:rPr>
        <w:t>Cette mesure est également reprise dans</w:t>
      </w:r>
      <w:r w:rsidRPr="000D3045">
        <w:rPr>
          <w:rStyle w:val="Accentuation"/>
          <w:rFonts w:asciiTheme="minorHAnsi" w:hAnsiTheme="minorHAnsi" w:cs="Tahoma"/>
          <w:sz w:val="20"/>
          <w:szCs w:val="20"/>
        </w:rPr>
        <w:t xml:space="preserve"> </w:t>
      </w:r>
      <w:r w:rsidRPr="000D3045">
        <w:rPr>
          <w:rFonts w:asciiTheme="minorHAnsi" w:hAnsiTheme="minorHAnsi"/>
          <w:bCs/>
          <w:sz w:val="20"/>
          <w:szCs w:val="20"/>
        </w:rPr>
        <w:t>DIRECTIVE 2013/32/UE DU PARLEMENT EUROPÉEN ET DU CONSEIL du 26 juin 2013 relative à des procédures communes pour l’octroi et le retrait de la protection internationale (refonte), art. 35.</w:t>
      </w:r>
    </w:p>
  </w:footnote>
  <w:footnote w:id="6">
    <w:p w:rsidR="00A902AB" w:rsidRPr="000D3045" w:rsidRDefault="00A902AB" w:rsidP="00A902AB">
      <w:pPr>
        <w:autoSpaceDE w:val="0"/>
        <w:autoSpaceDN w:val="0"/>
        <w:adjustRightInd w:val="0"/>
        <w:spacing w:after="0" w:line="240" w:lineRule="auto"/>
        <w:rPr>
          <w:rFonts w:cs="HelveticaLTStd-Roman"/>
          <w:sz w:val="20"/>
          <w:szCs w:val="20"/>
        </w:rPr>
      </w:pPr>
      <w:r w:rsidRPr="000D3045">
        <w:rPr>
          <w:rStyle w:val="Appelnotedebasdep"/>
          <w:sz w:val="20"/>
          <w:szCs w:val="20"/>
        </w:rPr>
        <w:footnoteRef/>
      </w:r>
      <w:r w:rsidRPr="000D3045">
        <w:rPr>
          <w:sz w:val="20"/>
          <w:szCs w:val="20"/>
        </w:rPr>
        <w:t xml:space="preserve"> </w:t>
      </w:r>
      <w:r w:rsidRPr="000D3045">
        <w:rPr>
          <w:rFonts w:cs="HelveticaLTStd-Roman"/>
          <w:sz w:val="20"/>
          <w:szCs w:val="20"/>
        </w:rPr>
        <w:t xml:space="preserve">CCE, n°45.397 du 24 juin 2010, RDE, n° </w:t>
      </w:r>
      <w:r w:rsidR="00895E39">
        <w:rPr>
          <w:rFonts w:cs="HelveticaLTStd-Roman"/>
          <w:sz w:val="20"/>
          <w:szCs w:val="20"/>
        </w:rPr>
        <w:t>158, p. 199.</w:t>
      </w:r>
    </w:p>
  </w:footnote>
  <w:footnote w:id="7">
    <w:p w:rsidR="009A3238" w:rsidRPr="000D3045" w:rsidRDefault="009A3238">
      <w:pPr>
        <w:pStyle w:val="Notedebasdepage"/>
      </w:pPr>
      <w:r w:rsidRPr="000D3045">
        <w:rPr>
          <w:rStyle w:val="Appelnotedebasdep"/>
        </w:rPr>
        <w:footnoteRef/>
      </w:r>
      <w:r w:rsidRPr="000D3045">
        <w:t xml:space="preserve"> </w:t>
      </w:r>
      <w:r w:rsidRPr="000D3045">
        <w:rPr>
          <w:i/>
        </w:rPr>
        <w:t>Op. cit.</w:t>
      </w:r>
      <w:r w:rsidRPr="000D3045">
        <w:t>, p. 12.</w:t>
      </w:r>
    </w:p>
  </w:footnote>
  <w:footnote w:id="8">
    <w:p w:rsidR="00CA4CCE" w:rsidRPr="000D3045" w:rsidRDefault="00CA4CCE">
      <w:pPr>
        <w:pStyle w:val="Notedebasdepage"/>
      </w:pPr>
      <w:r w:rsidRPr="000D3045">
        <w:rPr>
          <w:rStyle w:val="Appelnotedebasdep"/>
        </w:rPr>
        <w:footnoteRef/>
      </w:r>
      <w:r w:rsidRPr="000D3045">
        <w:t xml:space="preserve"> Nouvel art. 57/6/3, de la Loi. Tel ne pourra être le cas si le statut octroyé est la protection subsidiaire. </w:t>
      </w:r>
    </w:p>
  </w:footnote>
  <w:footnote w:id="9">
    <w:p w:rsidR="00BA0552" w:rsidRPr="000D3045" w:rsidRDefault="00BA0552">
      <w:pPr>
        <w:pStyle w:val="Notedebasdepage"/>
      </w:pPr>
      <w:r w:rsidRPr="00E728B6">
        <w:rPr>
          <w:rStyle w:val="Appelnotedebasdep"/>
        </w:rPr>
        <w:footnoteRef/>
      </w:r>
      <w:r w:rsidRPr="00E728B6">
        <w:t xml:space="preserve"> A</w:t>
      </w:r>
      <w:r w:rsidRPr="00E728B6">
        <w:rPr>
          <w:rFonts w:eastAsia="Times New Roman" w:cs="Times New Roman"/>
          <w:color w:val="000000"/>
          <w:lang w:eastAsia="fr-BE"/>
        </w:rPr>
        <w:t>rt. 16, al. 3, nouveau de l’arrêté royal du 11 juillet 2003 f</w:t>
      </w:r>
      <w:r w:rsidRPr="00E728B6">
        <w:rPr>
          <w:rFonts w:eastAsia="Times New Roman" w:cs="Times New Roman"/>
          <w:bCs/>
          <w:color w:val="000000"/>
          <w:lang w:eastAsia="fr-BE"/>
        </w:rPr>
        <w:t>ixant certains éléments de la procédure à suivre par</w:t>
      </w:r>
      <w:r w:rsidRPr="000D3045">
        <w:rPr>
          <w:rFonts w:eastAsia="Times New Roman" w:cs="Times New Roman"/>
          <w:bCs/>
          <w:color w:val="000000"/>
          <w:lang w:eastAsia="fr-BE"/>
        </w:rPr>
        <w:t xml:space="preserve"> le service de l'Office des Etrangers chargé de l'examen des demandes d'asile sur la base de la loi du 15 décembre 1980 sur l'accès au territoire, le séjour, l'établissement et l'éloignement des étrangers.</w:t>
      </w:r>
    </w:p>
  </w:footnote>
  <w:footnote w:id="10">
    <w:p w:rsidR="00402527" w:rsidRPr="000D3045" w:rsidRDefault="00402527">
      <w:pPr>
        <w:pStyle w:val="Notedebasdepage"/>
      </w:pPr>
      <w:r w:rsidRPr="000D3045">
        <w:rPr>
          <w:rStyle w:val="Appelnotedebasdep"/>
        </w:rPr>
        <w:footnoteRef/>
      </w:r>
      <w:r w:rsidRPr="000D3045">
        <w:t xml:space="preserve"> </w:t>
      </w:r>
      <w:r w:rsidRPr="000D3045">
        <w:rPr>
          <w:i/>
        </w:rPr>
        <w:t>Op. cit</w:t>
      </w:r>
      <w:r w:rsidRPr="000D3045">
        <w:t>., p. 16.</w:t>
      </w:r>
    </w:p>
  </w:footnote>
  <w:footnote w:id="11">
    <w:p w:rsidR="00CC4B7D" w:rsidRPr="000D3045" w:rsidRDefault="00CC4B7D">
      <w:pPr>
        <w:pStyle w:val="Notedebasdepage"/>
      </w:pPr>
      <w:r w:rsidRPr="000D3045">
        <w:rPr>
          <w:rStyle w:val="Appelnotedebasdep"/>
        </w:rPr>
        <w:footnoteRef/>
      </w:r>
      <w:r w:rsidRPr="000D3045">
        <w:t xml:space="preserve"> Voyez </w:t>
      </w:r>
      <w:r w:rsidR="00BA0552" w:rsidRPr="000D3045">
        <w:t xml:space="preserve"> l’avis </w:t>
      </w:r>
      <w:r w:rsidR="00BA0552" w:rsidRPr="000D3045">
        <w:rPr>
          <w:rFonts w:eastAsia="Times New Roman" w:cs="Times New Roman"/>
          <w:color w:val="000000"/>
          <w:lang w:eastAsia="fr-BE"/>
        </w:rPr>
        <w:t xml:space="preserve">53.785/2/V du 29 juillet 2013 du Conseil d'Etat, section de législation, sur un projet d'arrêté royal modifiant l'arrêté royal du 11 juillet 2003 fixant certains éléments de la procédure </w:t>
      </w:r>
      <w:r w:rsidR="00FB609C" w:rsidRPr="000D3045">
        <w:rPr>
          <w:rFonts w:eastAsia="Times New Roman" w:cs="Times New Roman"/>
          <w:color w:val="000000"/>
          <w:lang w:eastAsia="fr-BE"/>
        </w:rPr>
        <w:t>à</w:t>
      </w:r>
      <w:r w:rsidR="00BA0552" w:rsidRPr="000D3045">
        <w:rPr>
          <w:rFonts w:eastAsia="Times New Roman" w:cs="Times New Roman"/>
          <w:color w:val="000000"/>
          <w:lang w:eastAsia="fr-BE"/>
        </w:rPr>
        <w:t xml:space="preserve"> suivre par le service de l'office des étrangers charge de l'examen des demandes d'asile sur la base de la loi du 15 décembre 1980 sur l'accès au territoire, le séjour, l'établissement et l'éloignement des étrangers.</w:t>
      </w:r>
    </w:p>
  </w:footnote>
  <w:footnote w:id="12">
    <w:p w:rsidR="00A902AB" w:rsidRPr="00E728B6" w:rsidRDefault="00A902AB" w:rsidP="00A902AB">
      <w:pPr>
        <w:autoSpaceDE w:val="0"/>
        <w:autoSpaceDN w:val="0"/>
        <w:adjustRightInd w:val="0"/>
        <w:spacing w:after="0" w:line="240" w:lineRule="auto"/>
        <w:rPr>
          <w:rFonts w:cs="HelveticaLTStd-Roman"/>
          <w:sz w:val="20"/>
          <w:szCs w:val="20"/>
        </w:rPr>
      </w:pPr>
      <w:r w:rsidRPr="00E728B6">
        <w:rPr>
          <w:rStyle w:val="Appelnotedebasdep"/>
          <w:sz w:val="20"/>
          <w:szCs w:val="20"/>
        </w:rPr>
        <w:footnoteRef/>
      </w:r>
      <w:r w:rsidRPr="00E728B6">
        <w:rPr>
          <w:sz w:val="20"/>
          <w:szCs w:val="20"/>
        </w:rPr>
        <w:t xml:space="preserve"> Selon les travaux préparatoires, </w:t>
      </w:r>
      <w:r w:rsidRPr="00E728B6">
        <w:rPr>
          <w:i/>
          <w:sz w:val="20"/>
          <w:szCs w:val="20"/>
        </w:rPr>
        <w:t>op. cit</w:t>
      </w:r>
      <w:r w:rsidRPr="00E728B6">
        <w:rPr>
          <w:sz w:val="20"/>
          <w:szCs w:val="20"/>
        </w:rPr>
        <w:t>., p. 23-24 : « </w:t>
      </w:r>
      <w:r w:rsidRPr="00E728B6">
        <w:rPr>
          <w:rFonts w:cs="HelveticaLTStd-Roman"/>
          <w:i/>
          <w:sz w:val="20"/>
          <w:szCs w:val="20"/>
        </w:rPr>
        <w:t>Dans cet examen, le Commissaire général tient compte de tous les éléments ou constatations nouvellement apportés par l’étranger, ainsi que de tout élément pertinent dont il disposerait par ailleurs mais qui n’aurait pas été produit par le demandeur d’asile. La probabilité qu’un demandeur d’asile puisse prétendre au statut de réfugié ou au statut de protection subsidiaire augmentera par exemple significativement lorsque la situation en matière de sécurité ou de droits de l’homme dans le pays d’origine du demandeur s’est détériorée à tel point qu’une protection internationale s’impose; lorsque le demandeur d’asile apporte de nouveaux éléments qui compromettent l’essence même d’une décision de refus antérieure; ou lorsque le demandeur d’asile apporte des éléments nouveaux pertinents et crédibles et qu’il explique en même temps de manière plausible pourquoi il n’a pas pu les présenter plus tôt. En revanche, cette probabilité n’augmente pas significativement quand, par exemple, les nouveaux éléments soumis n’apparaissent pas en soi probants parce que les déclarations qu’il a faites par ailleurs sont incohérentes ou manquent de crédibilité ou quand les nouveaux éléments de preuve présentent manifestement des vices de contenu ou de forme. Cette probabilité n’augmente pas non plus significativement quand, par exemple, les nouveaux éléments ou constatations viennent uniquement confirmer une situation qui n’était pas contestée auparavant, quoiqu’elle ait été jugée non fondée; quand ils n’ont trait qu’à des éléments qui n’avaient pas un caractère essentiel dans la décision de refus antérieure; quand ils forment la continuation d’un récit qui sur plusieurs points essentiels n’a pas été jugé crédible; quand ils présentent uniquement un caractère général, n’établissent aucun lien avec la situation personnelle du demandeur d’asile et ne prouvent pas non plus que la situation générale est de nature à justifier un statut de protection</w:t>
      </w:r>
      <w:r w:rsidRPr="00E728B6">
        <w:rPr>
          <w:rFonts w:cs="HelveticaLTStd-Roman"/>
          <w:sz w:val="20"/>
          <w:szCs w:val="20"/>
        </w:rPr>
        <w:t> ».</w:t>
      </w:r>
    </w:p>
  </w:footnote>
  <w:footnote w:id="13">
    <w:p w:rsidR="00072C42" w:rsidRPr="000D3045" w:rsidRDefault="00072C42">
      <w:pPr>
        <w:pStyle w:val="Notedebasdepage"/>
      </w:pPr>
      <w:r w:rsidRPr="000D3045">
        <w:rPr>
          <w:rStyle w:val="Appelnotedebasdep"/>
        </w:rPr>
        <w:footnoteRef/>
      </w:r>
      <w:r w:rsidRPr="000D3045">
        <w:t xml:space="preserve"> </w:t>
      </w:r>
      <w:r w:rsidR="00336699" w:rsidRPr="000D3045">
        <w:rPr>
          <w:rFonts w:eastAsia="Times New Roman" w:cs="Times New Roman"/>
          <w:color w:val="000000"/>
          <w:lang w:eastAsia="fr-BE"/>
        </w:rPr>
        <w:t>O</w:t>
      </w:r>
      <w:r w:rsidRPr="000D3045">
        <w:rPr>
          <w:rFonts w:eastAsia="Times New Roman" w:cs="Times New Roman"/>
          <w:color w:val="000000"/>
          <w:lang w:eastAsia="fr-BE"/>
        </w:rPr>
        <w:t>u si l'étranger a fait auparavant l'objet d'une décision de refus sans examen au fond, prise en application des articles 52, § 2, 3°, 4° et 5°, § 3, 3° et § 4, 3°, ou 57/10.</w:t>
      </w:r>
    </w:p>
  </w:footnote>
  <w:footnote w:id="14">
    <w:p w:rsidR="00BE2CE9" w:rsidRDefault="00BE2CE9">
      <w:pPr>
        <w:pStyle w:val="Notedebasdepage"/>
      </w:pPr>
      <w:r>
        <w:rPr>
          <w:rStyle w:val="Appelnotedebasdep"/>
        </w:rPr>
        <w:footnoteRef/>
      </w:r>
      <w:r>
        <w:t xml:space="preserve"> </w:t>
      </w:r>
      <w:r w:rsidR="00342ECE" w:rsidRPr="00342ECE">
        <w:rPr>
          <w:i/>
        </w:rPr>
        <w:t>Op. cit.,</w:t>
      </w:r>
      <w:r w:rsidR="00342ECE">
        <w:t xml:space="preserve"> p. 17.</w:t>
      </w:r>
      <w:r>
        <w:t xml:space="preserve"> </w:t>
      </w:r>
    </w:p>
  </w:footnote>
  <w:footnote w:id="15">
    <w:p w:rsidR="00DA3614" w:rsidRPr="00DA3614" w:rsidRDefault="00DA3614" w:rsidP="00DA3614">
      <w:pPr>
        <w:autoSpaceDE w:val="0"/>
        <w:autoSpaceDN w:val="0"/>
        <w:adjustRightInd w:val="0"/>
        <w:spacing w:after="0" w:line="240" w:lineRule="auto"/>
        <w:rPr>
          <w:sz w:val="20"/>
          <w:szCs w:val="20"/>
        </w:rPr>
      </w:pPr>
      <w:r w:rsidRPr="00DA3614">
        <w:rPr>
          <w:rStyle w:val="Appelnotedebasdep"/>
          <w:sz w:val="20"/>
          <w:szCs w:val="20"/>
        </w:rPr>
        <w:footnoteRef/>
      </w:r>
      <w:r w:rsidRPr="00DA3614">
        <w:rPr>
          <w:sz w:val="20"/>
          <w:szCs w:val="20"/>
        </w:rPr>
        <w:t xml:space="preserve"> </w:t>
      </w:r>
      <w:r w:rsidRPr="00DA3614">
        <w:rPr>
          <w:rFonts w:cs="HelveticaLTStd-Roman"/>
          <w:sz w:val="20"/>
          <w:szCs w:val="20"/>
        </w:rPr>
        <w:t>Voyez également l’article 34.2 c) de la Directive procédure.</w:t>
      </w:r>
    </w:p>
  </w:footnote>
  <w:footnote w:id="16">
    <w:p w:rsidR="00C4437F" w:rsidRPr="000D3045" w:rsidRDefault="00C4437F">
      <w:pPr>
        <w:pStyle w:val="Notedebasdepage"/>
      </w:pPr>
      <w:r w:rsidRPr="000D3045">
        <w:rPr>
          <w:rStyle w:val="Appelnotedebasdep"/>
        </w:rPr>
        <w:footnoteRef/>
      </w:r>
      <w:r w:rsidRPr="000D3045">
        <w:t xml:space="preserve"> Déclaration du CGRA lors de la réunion de contact du CBAR du 9 septembre 2013.</w:t>
      </w:r>
    </w:p>
  </w:footnote>
  <w:footnote w:id="17">
    <w:p w:rsidR="001532DC" w:rsidRDefault="001532DC">
      <w:pPr>
        <w:pStyle w:val="Notedebasdepage"/>
      </w:pPr>
      <w:r>
        <w:rPr>
          <w:rStyle w:val="Appelnotedebasdep"/>
        </w:rPr>
        <w:footnoteRef/>
      </w:r>
      <w:r>
        <w:t xml:space="preserve"> Art. 20, arrêté royal du 11 juillet 2003, modifié par l’arrêté royal du 17 août 2013, MB, 22 août 2013, vig. 1</w:t>
      </w:r>
      <w:r w:rsidRPr="001532DC">
        <w:rPr>
          <w:vertAlign w:val="superscript"/>
        </w:rPr>
        <w:t>er</w:t>
      </w:r>
      <w:r>
        <w:t xml:space="preserve"> septembre 2013.</w:t>
      </w:r>
    </w:p>
  </w:footnote>
  <w:footnote w:id="18">
    <w:p w:rsidR="00345113" w:rsidRDefault="00345113">
      <w:pPr>
        <w:pStyle w:val="Notedebasdepage"/>
      </w:pPr>
      <w:r>
        <w:rPr>
          <w:rStyle w:val="Appelnotedebasdep"/>
        </w:rPr>
        <w:footnoteRef/>
      </w:r>
      <w:r>
        <w:t xml:space="preserve"> </w:t>
      </w:r>
      <w:r w:rsidRPr="0056765C">
        <w:rPr>
          <w:i/>
        </w:rPr>
        <w:t>Ibid</w:t>
      </w:r>
      <w:r>
        <w:t>., rapport au Roi.</w:t>
      </w:r>
    </w:p>
  </w:footnote>
  <w:footnote w:id="19">
    <w:p w:rsidR="009343B7" w:rsidRPr="009343B7" w:rsidRDefault="009343B7" w:rsidP="009343B7">
      <w:pPr>
        <w:autoSpaceDE w:val="0"/>
        <w:autoSpaceDN w:val="0"/>
        <w:adjustRightInd w:val="0"/>
        <w:spacing w:after="0" w:line="240" w:lineRule="auto"/>
        <w:rPr>
          <w:rFonts w:cs="HelveticaLTStd-Roman"/>
          <w:i/>
          <w:sz w:val="20"/>
          <w:szCs w:val="20"/>
        </w:rPr>
      </w:pPr>
      <w:r>
        <w:rPr>
          <w:rStyle w:val="Appelnotedebasdep"/>
        </w:rPr>
        <w:footnoteRef/>
      </w:r>
      <w:r>
        <w:t xml:space="preserve"> </w:t>
      </w:r>
      <w:r w:rsidRPr="00EC50C8">
        <w:rPr>
          <w:sz w:val="20"/>
          <w:szCs w:val="20"/>
        </w:rPr>
        <w:t xml:space="preserve">Chambre </w:t>
      </w:r>
      <w:r w:rsidRPr="00EC50C8">
        <w:rPr>
          <w:rFonts w:cs="HelveticaLTStd-Roman"/>
          <w:sz w:val="20"/>
          <w:szCs w:val="20"/>
        </w:rPr>
        <w:t xml:space="preserve">DOC 53 </w:t>
      </w:r>
      <w:r w:rsidRPr="00EC50C8">
        <w:rPr>
          <w:rFonts w:cs="HelveticaLTStd-Bold"/>
          <w:bCs/>
          <w:sz w:val="20"/>
          <w:szCs w:val="20"/>
        </w:rPr>
        <w:t xml:space="preserve">2555/001, </w:t>
      </w:r>
      <w:r w:rsidRPr="00EC50C8">
        <w:rPr>
          <w:sz w:val="20"/>
          <w:szCs w:val="20"/>
        </w:rPr>
        <w:t>exposé de motifs,</w:t>
      </w:r>
      <w:r>
        <w:rPr>
          <w:sz w:val="20"/>
          <w:szCs w:val="20"/>
        </w:rPr>
        <w:t xml:space="preserve"> commentaire article par article, p. 18.</w:t>
      </w:r>
    </w:p>
  </w:footnote>
  <w:footnote w:id="20">
    <w:p w:rsidR="006F3CD6" w:rsidRPr="00EC50C8" w:rsidRDefault="006F3CD6" w:rsidP="00EC50C8">
      <w:pPr>
        <w:autoSpaceDE w:val="0"/>
        <w:autoSpaceDN w:val="0"/>
        <w:adjustRightInd w:val="0"/>
        <w:spacing w:after="0" w:line="240" w:lineRule="auto"/>
        <w:rPr>
          <w:rFonts w:cs="HelveticaLTStd-Roman"/>
          <w:i/>
          <w:sz w:val="20"/>
          <w:szCs w:val="20"/>
        </w:rPr>
      </w:pPr>
      <w:r w:rsidRPr="000D3045">
        <w:rPr>
          <w:rStyle w:val="Appelnotedebasdep"/>
          <w:sz w:val="20"/>
          <w:szCs w:val="20"/>
        </w:rPr>
        <w:footnoteRef/>
      </w:r>
      <w:r w:rsidRPr="000D3045">
        <w:rPr>
          <w:sz w:val="20"/>
          <w:szCs w:val="20"/>
        </w:rPr>
        <w:t xml:space="preserve"> </w:t>
      </w:r>
      <w:r w:rsidR="00840F2C" w:rsidRPr="00840F2C">
        <w:rPr>
          <w:i/>
          <w:sz w:val="20"/>
          <w:szCs w:val="20"/>
        </w:rPr>
        <w:t>Idem.</w:t>
      </w:r>
    </w:p>
  </w:footnote>
  <w:footnote w:id="21">
    <w:p w:rsidR="000465A3" w:rsidRDefault="000465A3">
      <w:pPr>
        <w:pStyle w:val="Notedebasdepage"/>
      </w:pPr>
      <w:r>
        <w:rPr>
          <w:rStyle w:val="Appelnotedebasdep"/>
        </w:rPr>
        <w:footnoteRef/>
      </w:r>
      <w:r>
        <w:t xml:space="preserve"> Arrêté royal du17 août 2013, modifiant l’arrêté royal du11 juillet 2003, MB, 22 août 2013, Rapport au Roi. </w:t>
      </w:r>
    </w:p>
  </w:footnote>
  <w:footnote w:id="22">
    <w:p w:rsidR="00395AAC" w:rsidRPr="00395AAC" w:rsidRDefault="00395AAC" w:rsidP="00395AAC">
      <w:pPr>
        <w:autoSpaceDE w:val="0"/>
        <w:autoSpaceDN w:val="0"/>
        <w:adjustRightInd w:val="0"/>
        <w:spacing w:after="0" w:line="240" w:lineRule="auto"/>
        <w:rPr>
          <w:rFonts w:ascii="HelveticaLTStd-Roman" w:hAnsi="HelveticaLTStd-Roman" w:cs="HelveticaLTStd-Roman"/>
          <w:sz w:val="20"/>
          <w:szCs w:val="20"/>
        </w:rPr>
      </w:pPr>
      <w:r>
        <w:rPr>
          <w:rStyle w:val="Appelnotedebasdep"/>
        </w:rPr>
        <w:footnoteRef/>
      </w:r>
      <w:r>
        <w:t xml:space="preserve"> </w:t>
      </w:r>
      <w:r w:rsidRPr="00395AAC">
        <w:rPr>
          <w:sz w:val="20"/>
          <w:szCs w:val="20"/>
        </w:rPr>
        <w:t>Selon les travaux préparatoires</w:t>
      </w:r>
      <w:r>
        <w:rPr>
          <w:sz w:val="20"/>
          <w:szCs w:val="20"/>
        </w:rPr>
        <w:t xml:space="preserve">, </w:t>
      </w:r>
      <w:r w:rsidRPr="00395AAC">
        <w:rPr>
          <w:i/>
          <w:sz w:val="20"/>
          <w:szCs w:val="20"/>
        </w:rPr>
        <w:t>op. cit</w:t>
      </w:r>
      <w:r>
        <w:rPr>
          <w:sz w:val="20"/>
          <w:szCs w:val="20"/>
        </w:rPr>
        <w:t>., p. 18</w:t>
      </w:r>
      <w:r w:rsidRPr="00395AAC">
        <w:rPr>
          <w:sz w:val="20"/>
          <w:szCs w:val="20"/>
        </w:rPr>
        <w:t> : « </w:t>
      </w:r>
      <w:r w:rsidRPr="00395AAC">
        <w:rPr>
          <w:rFonts w:cs="HelveticaLTStd-Roman"/>
          <w:i/>
          <w:sz w:val="20"/>
          <w:szCs w:val="20"/>
        </w:rPr>
        <w:t>Le ministre ou son délégué ne dispose, pour la prise de cette décision, d’aucun pouvoir d’appréciation s’il constate qu’il est satisfait aux deux conditions prévues par cette disposition </w:t>
      </w:r>
      <w:r w:rsidRPr="00395AAC">
        <w:rPr>
          <w:rFonts w:cs="HelveticaLTStd-Roman"/>
          <w:sz w:val="20"/>
          <w:szCs w:val="20"/>
        </w:rPr>
        <w:t>».</w:t>
      </w:r>
    </w:p>
  </w:footnote>
  <w:footnote w:id="23">
    <w:p w:rsidR="0027058F" w:rsidRDefault="0027058F">
      <w:pPr>
        <w:pStyle w:val="Notedebasdepage"/>
      </w:pPr>
      <w:r>
        <w:rPr>
          <w:rStyle w:val="Appelnotedebasdep"/>
        </w:rPr>
        <w:footnoteRef/>
      </w:r>
      <w:r>
        <w:t xml:space="preserve"> </w:t>
      </w:r>
      <w:r w:rsidRPr="0027058F">
        <w:rPr>
          <w:i/>
        </w:rPr>
        <w:t>Op. cit.</w:t>
      </w:r>
      <w:r>
        <w:t>, p. 19.</w:t>
      </w:r>
    </w:p>
  </w:footnote>
  <w:footnote w:id="24">
    <w:p w:rsidR="00C651CA" w:rsidRDefault="00C651CA">
      <w:pPr>
        <w:pStyle w:val="Notedebasdepage"/>
      </w:pPr>
      <w:r>
        <w:rPr>
          <w:rStyle w:val="Appelnotedebasdep"/>
        </w:rPr>
        <w:footnoteRef/>
      </w:r>
      <w:r>
        <w:t xml:space="preserve"> Arrêté royal du 17 août 2013, MB, 22 août 2013, vig. </w:t>
      </w:r>
      <w:r w:rsidR="00B97C0E">
        <w:t>1</w:t>
      </w:r>
      <w:r w:rsidR="00B97C0E" w:rsidRPr="00B97C0E">
        <w:rPr>
          <w:vertAlign w:val="superscript"/>
        </w:rPr>
        <w:t>er</w:t>
      </w:r>
      <w:r w:rsidR="00B97C0E">
        <w:t xml:space="preserve"> septembre 2013.</w:t>
      </w:r>
    </w:p>
  </w:footnote>
  <w:footnote w:id="25">
    <w:p w:rsidR="007A7181" w:rsidRPr="000D3045" w:rsidRDefault="007A7181" w:rsidP="007A7181">
      <w:pPr>
        <w:pStyle w:val="Notedebasdepage"/>
      </w:pPr>
      <w:r w:rsidRPr="000D3045">
        <w:rPr>
          <w:rStyle w:val="Appelnotedebasdep"/>
        </w:rPr>
        <w:footnoteRef/>
      </w:r>
      <w:r w:rsidRPr="000D3045">
        <w:t xml:space="preserve"> A noter qu’une affaire renvoyée après cassation n’est plus dévolue à une chambre à trois juges.</w:t>
      </w:r>
    </w:p>
  </w:footnote>
  <w:footnote w:id="26">
    <w:p w:rsidR="007E73D6" w:rsidRPr="00FF436B" w:rsidRDefault="007E73D6">
      <w:pPr>
        <w:pStyle w:val="Notedebasdepage"/>
        <w:rPr>
          <w:lang w:val="nl-BE"/>
        </w:rPr>
      </w:pPr>
      <w:r>
        <w:rPr>
          <w:rStyle w:val="Appelnotedebasdep"/>
        </w:rPr>
        <w:footnoteRef/>
      </w:r>
      <w:r w:rsidRPr="00FF436B">
        <w:rPr>
          <w:lang w:val="nl-BE"/>
        </w:rPr>
        <w:t xml:space="preserve"> </w:t>
      </w:r>
      <w:r w:rsidRPr="00FF436B">
        <w:rPr>
          <w:i/>
          <w:lang w:val="nl-BE"/>
        </w:rPr>
        <w:t>Op. cit</w:t>
      </w:r>
      <w:r w:rsidRPr="00FF436B">
        <w:rPr>
          <w:lang w:val="nl-BE"/>
        </w:rPr>
        <w:t>., p. 43.</w:t>
      </w:r>
    </w:p>
  </w:footnote>
  <w:footnote w:id="27">
    <w:p w:rsidR="003408A0" w:rsidRPr="00FF436B" w:rsidRDefault="003408A0">
      <w:pPr>
        <w:pStyle w:val="Notedebasdepage"/>
        <w:rPr>
          <w:lang w:val="nl-BE"/>
        </w:rPr>
      </w:pPr>
      <w:r>
        <w:rPr>
          <w:rStyle w:val="Appelnotedebasdep"/>
        </w:rPr>
        <w:footnoteRef/>
      </w:r>
      <w:r w:rsidRPr="00FF436B">
        <w:rPr>
          <w:lang w:val="nl-BE"/>
        </w:rPr>
        <w:t xml:space="preserve"> </w:t>
      </w:r>
      <w:r w:rsidRPr="00FF436B">
        <w:rPr>
          <w:i/>
          <w:lang w:val="nl-BE"/>
        </w:rPr>
        <w:t>Op. cit</w:t>
      </w:r>
      <w:r w:rsidRPr="00FF436B">
        <w:rPr>
          <w:lang w:val="nl-BE"/>
        </w:rPr>
        <w:t>., p. 57.</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C10F01"/>
    <w:multiLevelType w:val="hybridMultilevel"/>
    <w:tmpl w:val="7C2AF4BC"/>
    <w:lvl w:ilvl="0" w:tplc="080C000B">
      <w:start w:val="1"/>
      <w:numFmt w:val="bullet"/>
      <w:lvlText w:val=""/>
      <w:lvlJc w:val="left"/>
      <w:pPr>
        <w:ind w:left="720" w:hanging="360"/>
      </w:pPr>
      <w:rPr>
        <w:rFonts w:ascii="Wingdings" w:hAnsi="Wingdings"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
    <w:nsid w:val="08B40066"/>
    <w:multiLevelType w:val="hybridMultilevel"/>
    <w:tmpl w:val="4C364978"/>
    <w:lvl w:ilvl="0" w:tplc="080C000B">
      <w:start w:val="1"/>
      <w:numFmt w:val="bullet"/>
      <w:lvlText w:val=""/>
      <w:lvlJc w:val="left"/>
      <w:pPr>
        <w:ind w:left="720" w:hanging="360"/>
      </w:pPr>
      <w:rPr>
        <w:rFonts w:ascii="Wingdings" w:hAnsi="Wingdings"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2">
    <w:nsid w:val="09AF320B"/>
    <w:multiLevelType w:val="hybridMultilevel"/>
    <w:tmpl w:val="4E78E88A"/>
    <w:lvl w:ilvl="0" w:tplc="080C000F">
      <w:start w:val="1"/>
      <w:numFmt w:val="decimal"/>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
    <w:nsid w:val="142624C4"/>
    <w:multiLevelType w:val="hybridMultilevel"/>
    <w:tmpl w:val="CA0CC23E"/>
    <w:lvl w:ilvl="0" w:tplc="B39CF314">
      <w:numFmt w:val="bullet"/>
      <w:lvlText w:val="-"/>
      <w:lvlJc w:val="left"/>
      <w:pPr>
        <w:ind w:left="720" w:hanging="360"/>
      </w:pPr>
      <w:rPr>
        <w:rFonts w:ascii="Calibri" w:eastAsia="Times New Roman" w:hAnsi="Calibri" w:cs="Times New Roman"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4">
    <w:nsid w:val="17140E1A"/>
    <w:multiLevelType w:val="hybridMultilevel"/>
    <w:tmpl w:val="59FA37F4"/>
    <w:lvl w:ilvl="0" w:tplc="080C000B">
      <w:start w:val="1"/>
      <w:numFmt w:val="bullet"/>
      <w:lvlText w:val=""/>
      <w:lvlJc w:val="left"/>
      <w:pPr>
        <w:ind w:left="720" w:hanging="360"/>
      </w:pPr>
      <w:rPr>
        <w:rFonts w:ascii="Wingdings" w:hAnsi="Wingdings"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5">
    <w:nsid w:val="1D8A0097"/>
    <w:multiLevelType w:val="hybridMultilevel"/>
    <w:tmpl w:val="B63A3F6E"/>
    <w:lvl w:ilvl="0" w:tplc="B5B21AEA">
      <w:start w:val="1"/>
      <w:numFmt w:val="bullet"/>
      <w:lvlText w:val="₋"/>
      <w:lvlJc w:val="left"/>
      <w:pPr>
        <w:ind w:left="720" w:hanging="360"/>
      </w:pPr>
      <w:rPr>
        <w:rFonts w:ascii="Calibri" w:hAnsi="Calibri"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6">
    <w:nsid w:val="20E17F48"/>
    <w:multiLevelType w:val="hybridMultilevel"/>
    <w:tmpl w:val="173A7A94"/>
    <w:lvl w:ilvl="0" w:tplc="080C000B">
      <w:start w:val="1"/>
      <w:numFmt w:val="bullet"/>
      <w:lvlText w:val=""/>
      <w:lvlJc w:val="left"/>
      <w:pPr>
        <w:ind w:left="720" w:hanging="360"/>
      </w:pPr>
      <w:rPr>
        <w:rFonts w:ascii="Wingdings" w:hAnsi="Wingdings"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7">
    <w:nsid w:val="2BD95619"/>
    <w:multiLevelType w:val="hybridMultilevel"/>
    <w:tmpl w:val="26C81622"/>
    <w:lvl w:ilvl="0" w:tplc="6A48A226">
      <w:numFmt w:val="bullet"/>
      <w:lvlText w:val="-"/>
      <w:lvlJc w:val="left"/>
      <w:pPr>
        <w:ind w:left="720" w:hanging="360"/>
      </w:pPr>
      <w:rPr>
        <w:rFonts w:ascii="Calibri" w:eastAsia="Times New Roman" w:hAnsi="Calibri" w:cs="Times New Roman"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8">
    <w:nsid w:val="2C963D47"/>
    <w:multiLevelType w:val="hybridMultilevel"/>
    <w:tmpl w:val="FEB4F6E0"/>
    <w:lvl w:ilvl="0" w:tplc="080C000B">
      <w:start w:val="1"/>
      <w:numFmt w:val="bullet"/>
      <w:lvlText w:val=""/>
      <w:lvlJc w:val="left"/>
      <w:pPr>
        <w:ind w:left="720" w:hanging="360"/>
      </w:pPr>
      <w:rPr>
        <w:rFonts w:ascii="Wingdings" w:hAnsi="Wingdings"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9">
    <w:nsid w:val="2F4B7DD2"/>
    <w:multiLevelType w:val="hybridMultilevel"/>
    <w:tmpl w:val="7630920C"/>
    <w:lvl w:ilvl="0" w:tplc="080C000B">
      <w:start w:val="1"/>
      <w:numFmt w:val="bullet"/>
      <w:lvlText w:val=""/>
      <w:lvlJc w:val="left"/>
      <w:pPr>
        <w:ind w:left="720" w:hanging="360"/>
      </w:pPr>
      <w:rPr>
        <w:rFonts w:ascii="Wingdings" w:hAnsi="Wingdings"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0">
    <w:nsid w:val="380D11CC"/>
    <w:multiLevelType w:val="hybridMultilevel"/>
    <w:tmpl w:val="B77C8DFA"/>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1">
    <w:nsid w:val="45255D90"/>
    <w:multiLevelType w:val="hybridMultilevel"/>
    <w:tmpl w:val="E8E68120"/>
    <w:lvl w:ilvl="0" w:tplc="080C000B">
      <w:start w:val="1"/>
      <w:numFmt w:val="bullet"/>
      <w:lvlText w:val=""/>
      <w:lvlJc w:val="left"/>
      <w:pPr>
        <w:ind w:left="720" w:hanging="360"/>
      </w:pPr>
      <w:rPr>
        <w:rFonts w:ascii="Wingdings" w:hAnsi="Wingdings"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2">
    <w:nsid w:val="4A1C5A1E"/>
    <w:multiLevelType w:val="hybridMultilevel"/>
    <w:tmpl w:val="50A64A80"/>
    <w:lvl w:ilvl="0" w:tplc="500424E2">
      <w:numFmt w:val="bullet"/>
      <w:lvlText w:val="-"/>
      <w:lvlJc w:val="left"/>
      <w:pPr>
        <w:ind w:left="720" w:hanging="360"/>
      </w:pPr>
      <w:rPr>
        <w:rFonts w:ascii="Calibri" w:eastAsiaTheme="minorHAnsi" w:hAnsi="Calibri" w:cstheme="minorBidi"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3">
    <w:nsid w:val="50D37B77"/>
    <w:multiLevelType w:val="hybridMultilevel"/>
    <w:tmpl w:val="CD887F28"/>
    <w:lvl w:ilvl="0" w:tplc="80ACE95C">
      <w:start w:val="1"/>
      <w:numFmt w:val="bullet"/>
      <w:lvlText w:val="•"/>
      <w:lvlJc w:val="left"/>
      <w:pPr>
        <w:tabs>
          <w:tab w:val="num" w:pos="720"/>
        </w:tabs>
        <w:ind w:left="720" w:hanging="360"/>
      </w:pPr>
      <w:rPr>
        <w:rFonts w:ascii="Arial" w:hAnsi="Arial" w:hint="default"/>
      </w:rPr>
    </w:lvl>
    <w:lvl w:ilvl="1" w:tplc="FBC8C6A2" w:tentative="1">
      <w:start w:val="1"/>
      <w:numFmt w:val="bullet"/>
      <w:lvlText w:val="•"/>
      <w:lvlJc w:val="left"/>
      <w:pPr>
        <w:tabs>
          <w:tab w:val="num" w:pos="1440"/>
        </w:tabs>
        <w:ind w:left="1440" w:hanging="360"/>
      </w:pPr>
      <w:rPr>
        <w:rFonts w:ascii="Arial" w:hAnsi="Arial" w:hint="default"/>
      </w:rPr>
    </w:lvl>
    <w:lvl w:ilvl="2" w:tplc="B6A8FFA0" w:tentative="1">
      <w:start w:val="1"/>
      <w:numFmt w:val="bullet"/>
      <w:lvlText w:val="•"/>
      <w:lvlJc w:val="left"/>
      <w:pPr>
        <w:tabs>
          <w:tab w:val="num" w:pos="2160"/>
        </w:tabs>
        <w:ind w:left="2160" w:hanging="360"/>
      </w:pPr>
      <w:rPr>
        <w:rFonts w:ascii="Arial" w:hAnsi="Arial" w:hint="default"/>
      </w:rPr>
    </w:lvl>
    <w:lvl w:ilvl="3" w:tplc="62E41AD6" w:tentative="1">
      <w:start w:val="1"/>
      <w:numFmt w:val="bullet"/>
      <w:lvlText w:val="•"/>
      <w:lvlJc w:val="left"/>
      <w:pPr>
        <w:tabs>
          <w:tab w:val="num" w:pos="2880"/>
        </w:tabs>
        <w:ind w:left="2880" w:hanging="360"/>
      </w:pPr>
      <w:rPr>
        <w:rFonts w:ascii="Arial" w:hAnsi="Arial" w:hint="default"/>
      </w:rPr>
    </w:lvl>
    <w:lvl w:ilvl="4" w:tplc="D23265D6" w:tentative="1">
      <w:start w:val="1"/>
      <w:numFmt w:val="bullet"/>
      <w:lvlText w:val="•"/>
      <w:lvlJc w:val="left"/>
      <w:pPr>
        <w:tabs>
          <w:tab w:val="num" w:pos="3600"/>
        </w:tabs>
        <w:ind w:left="3600" w:hanging="360"/>
      </w:pPr>
      <w:rPr>
        <w:rFonts w:ascii="Arial" w:hAnsi="Arial" w:hint="default"/>
      </w:rPr>
    </w:lvl>
    <w:lvl w:ilvl="5" w:tplc="573E65FC" w:tentative="1">
      <w:start w:val="1"/>
      <w:numFmt w:val="bullet"/>
      <w:lvlText w:val="•"/>
      <w:lvlJc w:val="left"/>
      <w:pPr>
        <w:tabs>
          <w:tab w:val="num" w:pos="4320"/>
        </w:tabs>
        <w:ind w:left="4320" w:hanging="360"/>
      </w:pPr>
      <w:rPr>
        <w:rFonts w:ascii="Arial" w:hAnsi="Arial" w:hint="default"/>
      </w:rPr>
    </w:lvl>
    <w:lvl w:ilvl="6" w:tplc="13424CBA" w:tentative="1">
      <w:start w:val="1"/>
      <w:numFmt w:val="bullet"/>
      <w:lvlText w:val="•"/>
      <w:lvlJc w:val="left"/>
      <w:pPr>
        <w:tabs>
          <w:tab w:val="num" w:pos="5040"/>
        </w:tabs>
        <w:ind w:left="5040" w:hanging="360"/>
      </w:pPr>
      <w:rPr>
        <w:rFonts w:ascii="Arial" w:hAnsi="Arial" w:hint="default"/>
      </w:rPr>
    </w:lvl>
    <w:lvl w:ilvl="7" w:tplc="0E68F24C" w:tentative="1">
      <w:start w:val="1"/>
      <w:numFmt w:val="bullet"/>
      <w:lvlText w:val="•"/>
      <w:lvlJc w:val="left"/>
      <w:pPr>
        <w:tabs>
          <w:tab w:val="num" w:pos="5760"/>
        </w:tabs>
        <w:ind w:left="5760" w:hanging="360"/>
      </w:pPr>
      <w:rPr>
        <w:rFonts w:ascii="Arial" w:hAnsi="Arial" w:hint="default"/>
      </w:rPr>
    </w:lvl>
    <w:lvl w:ilvl="8" w:tplc="0E1EEC3A" w:tentative="1">
      <w:start w:val="1"/>
      <w:numFmt w:val="bullet"/>
      <w:lvlText w:val="•"/>
      <w:lvlJc w:val="left"/>
      <w:pPr>
        <w:tabs>
          <w:tab w:val="num" w:pos="6480"/>
        </w:tabs>
        <w:ind w:left="6480" w:hanging="360"/>
      </w:pPr>
      <w:rPr>
        <w:rFonts w:ascii="Arial" w:hAnsi="Arial" w:hint="default"/>
      </w:rPr>
    </w:lvl>
  </w:abstractNum>
  <w:abstractNum w:abstractNumId="14">
    <w:nsid w:val="58207B5E"/>
    <w:multiLevelType w:val="hybridMultilevel"/>
    <w:tmpl w:val="2CAE9AF4"/>
    <w:lvl w:ilvl="0" w:tplc="080C000B">
      <w:start w:val="1"/>
      <w:numFmt w:val="bullet"/>
      <w:lvlText w:val=""/>
      <w:lvlJc w:val="left"/>
      <w:pPr>
        <w:ind w:left="720" w:hanging="360"/>
      </w:pPr>
      <w:rPr>
        <w:rFonts w:ascii="Wingdings" w:hAnsi="Wingdings"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5">
    <w:nsid w:val="5E9D6664"/>
    <w:multiLevelType w:val="hybridMultilevel"/>
    <w:tmpl w:val="B6C05FCC"/>
    <w:lvl w:ilvl="0" w:tplc="080C000B">
      <w:start w:val="1"/>
      <w:numFmt w:val="bullet"/>
      <w:lvlText w:val=""/>
      <w:lvlJc w:val="left"/>
      <w:pPr>
        <w:ind w:left="720" w:hanging="360"/>
      </w:pPr>
      <w:rPr>
        <w:rFonts w:ascii="Wingdings" w:hAnsi="Wingdings"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6">
    <w:nsid w:val="5FD424AB"/>
    <w:multiLevelType w:val="hybridMultilevel"/>
    <w:tmpl w:val="D518A064"/>
    <w:lvl w:ilvl="0" w:tplc="080C000B">
      <w:start w:val="1"/>
      <w:numFmt w:val="bullet"/>
      <w:lvlText w:val=""/>
      <w:lvlJc w:val="left"/>
      <w:pPr>
        <w:ind w:left="720" w:hanging="360"/>
      </w:pPr>
      <w:rPr>
        <w:rFonts w:ascii="Wingdings" w:hAnsi="Wingdings"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7">
    <w:nsid w:val="6190243C"/>
    <w:multiLevelType w:val="hybridMultilevel"/>
    <w:tmpl w:val="B64630FA"/>
    <w:lvl w:ilvl="0" w:tplc="B5B21AEA">
      <w:start w:val="1"/>
      <w:numFmt w:val="bullet"/>
      <w:lvlText w:val="₋"/>
      <w:lvlJc w:val="left"/>
      <w:pPr>
        <w:tabs>
          <w:tab w:val="num" w:pos="720"/>
        </w:tabs>
        <w:ind w:left="720" w:hanging="360"/>
      </w:pPr>
      <w:rPr>
        <w:rFonts w:ascii="Calibri" w:hAnsi="Calibri" w:hint="default"/>
      </w:rPr>
    </w:lvl>
    <w:lvl w:ilvl="1" w:tplc="FBC8C6A2" w:tentative="1">
      <w:start w:val="1"/>
      <w:numFmt w:val="bullet"/>
      <w:lvlText w:val="•"/>
      <w:lvlJc w:val="left"/>
      <w:pPr>
        <w:tabs>
          <w:tab w:val="num" w:pos="1440"/>
        </w:tabs>
        <w:ind w:left="1440" w:hanging="360"/>
      </w:pPr>
      <w:rPr>
        <w:rFonts w:ascii="Arial" w:hAnsi="Arial" w:hint="default"/>
      </w:rPr>
    </w:lvl>
    <w:lvl w:ilvl="2" w:tplc="B6A8FFA0" w:tentative="1">
      <w:start w:val="1"/>
      <w:numFmt w:val="bullet"/>
      <w:lvlText w:val="•"/>
      <w:lvlJc w:val="left"/>
      <w:pPr>
        <w:tabs>
          <w:tab w:val="num" w:pos="2160"/>
        </w:tabs>
        <w:ind w:left="2160" w:hanging="360"/>
      </w:pPr>
      <w:rPr>
        <w:rFonts w:ascii="Arial" w:hAnsi="Arial" w:hint="default"/>
      </w:rPr>
    </w:lvl>
    <w:lvl w:ilvl="3" w:tplc="62E41AD6" w:tentative="1">
      <w:start w:val="1"/>
      <w:numFmt w:val="bullet"/>
      <w:lvlText w:val="•"/>
      <w:lvlJc w:val="left"/>
      <w:pPr>
        <w:tabs>
          <w:tab w:val="num" w:pos="2880"/>
        </w:tabs>
        <w:ind w:left="2880" w:hanging="360"/>
      </w:pPr>
      <w:rPr>
        <w:rFonts w:ascii="Arial" w:hAnsi="Arial" w:hint="default"/>
      </w:rPr>
    </w:lvl>
    <w:lvl w:ilvl="4" w:tplc="D23265D6" w:tentative="1">
      <w:start w:val="1"/>
      <w:numFmt w:val="bullet"/>
      <w:lvlText w:val="•"/>
      <w:lvlJc w:val="left"/>
      <w:pPr>
        <w:tabs>
          <w:tab w:val="num" w:pos="3600"/>
        </w:tabs>
        <w:ind w:left="3600" w:hanging="360"/>
      </w:pPr>
      <w:rPr>
        <w:rFonts w:ascii="Arial" w:hAnsi="Arial" w:hint="default"/>
      </w:rPr>
    </w:lvl>
    <w:lvl w:ilvl="5" w:tplc="573E65FC" w:tentative="1">
      <w:start w:val="1"/>
      <w:numFmt w:val="bullet"/>
      <w:lvlText w:val="•"/>
      <w:lvlJc w:val="left"/>
      <w:pPr>
        <w:tabs>
          <w:tab w:val="num" w:pos="4320"/>
        </w:tabs>
        <w:ind w:left="4320" w:hanging="360"/>
      </w:pPr>
      <w:rPr>
        <w:rFonts w:ascii="Arial" w:hAnsi="Arial" w:hint="default"/>
      </w:rPr>
    </w:lvl>
    <w:lvl w:ilvl="6" w:tplc="13424CBA" w:tentative="1">
      <w:start w:val="1"/>
      <w:numFmt w:val="bullet"/>
      <w:lvlText w:val="•"/>
      <w:lvlJc w:val="left"/>
      <w:pPr>
        <w:tabs>
          <w:tab w:val="num" w:pos="5040"/>
        </w:tabs>
        <w:ind w:left="5040" w:hanging="360"/>
      </w:pPr>
      <w:rPr>
        <w:rFonts w:ascii="Arial" w:hAnsi="Arial" w:hint="default"/>
      </w:rPr>
    </w:lvl>
    <w:lvl w:ilvl="7" w:tplc="0E68F24C" w:tentative="1">
      <w:start w:val="1"/>
      <w:numFmt w:val="bullet"/>
      <w:lvlText w:val="•"/>
      <w:lvlJc w:val="left"/>
      <w:pPr>
        <w:tabs>
          <w:tab w:val="num" w:pos="5760"/>
        </w:tabs>
        <w:ind w:left="5760" w:hanging="360"/>
      </w:pPr>
      <w:rPr>
        <w:rFonts w:ascii="Arial" w:hAnsi="Arial" w:hint="default"/>
      </w:rPr>
    </w:lvl>
    <w:lvl w:ilvl="8" w:tplc="0E1EEC3A" w:tentative="1">
      <w:start w:val="1"/>
      <w:numFmt w:val="bullet"/>
      <w:lvlText w:val="•"/>
      <w:lvlJc w:val="left"/>
      <w:pPr>
        <w:tabs>
          <w:tab w:val="num" w:pos="6480"/>
        </w:tabs>
        <w:ind w:left="6480" w:hanging="360"/>
      </w:pPr>
      <w:rPr>
        <w:rFonts w:ascii="Arial" w:hAnsi="Arial" w:hint="default"/>
      </w:rPr>
    </w:lvl>
  </w:abstractNum>
  <w:abstractNum w:abstractNumId="18">
    <w:nsid w:val="62C435F0"/>
    <w:multiLevelType w:val="hybridMultilevel"/>
    <w:tmpl w:val="3C4A72D6"/>
    <w:lvl w:ilvl="0" w:tplc="080C000B">
      <w:start w:val="1"/>
      <w:numFmt w:val="bullet"/>
      <w:lvlText w:val=""/>
      <w:lvlJc w:val="left"/>
      <w:pPr>
        <w:ind w:left="720" w:hanging="360"/>
      </w:pPr>
      <w:rPr>
        <w:rFonts w:ascii="Wingdings" w:hAnsi="Wingdings"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9">
    <w:nsid w:val="6CDB5108"/>
    <w:multiLevelType w:val="hybridMultilevel"/>
    <w:tmpl w:val="D1D43A4C"/>
    <w:lvl w:ilvl="0" w:tplc="080C000B">
      <w:start w:val="1"/>
      <w:numFmt w:val="bullet"/>
      <w:lvlText w:val=""/>
      <w:lvlJc w:val="left"/>
      <w:pPr>
        <w:ind w:left="720" w:hanging="360"/>
      </w:pPr>
      <w:rPr>
        <w:rFonts w:ascii="Wingdings" w:hAnsi="Wingdings"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20">
    <w:nsid w:val="7CEA7CB3"/>
    <w:multiLevelType w:val="hybridMultilevel"/>
    <w:tmpl w:val="64904EAA"/>
    <w:lvl w:ilvl="0" w:tplc="080C000B">
      <w:start w:val="1"/>
      <w:numFmt w:val="bullet"/>
      <w:lvlText w:val=""/>
      <w:lvlJc w:val="left"/>
      <w:pPr>
        <w:ind w:left="720" w:hanging="360"/>
      </w:pPr>
      <w:rPr>
        <w:rFonts w:ascii="Wingdings" w:hAnsi="Wingdings"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num w:numId="1">
    <w:abstractNumId w:val="13"/>
  </w:num>
  <w:num w:numId="2">
    <w:abstractNumId w:val="2"/>
  </w:num>
  <w:num w:numId="3">
    <w:abstractNumId w:val="3"/>
  </w:num>
  <w:num w:numId="4">
    <w:abstractNumId w:val="7"/>
  </w:num>
  <w:num w:numId="5">
    <w:abstractNumId w:val="10"/>
  </w:num>
  <w:num w:numId="6">
    <w:abstractNumId w:val="18"/>
  </w:num>
  <w:num w:numId="7">
    <w:abstractNumId w:val="17"/>
  </w:num>
  <w:num w:numId="8">
    <w:abstractNumId w:val="5"/>
  </w:num>
  <w:num w:numId="9">
    <w:abstractNumId w:val="9"/>
  </w:num>
  <w:num w:numId="10">
    <w:abstractNumId w:val="16"/>
  </w:num>
  <w:num w:numId="11">
    <w:abstractNumId w:val="15"/>
  </w:num>
  <w:num w:numId="12">
    <w:abstractNumId w:val="20"/>
  </w:num>
  <w:num w:numId="13">
    <w:abstractNumId w:val="4"/>
  </w:num>
  <w:num w:numId="14">
    <w:abstractNumId w:val="6"/>
  </w:num>
  <w:num w:numId="15">
    <w:abstractNumId w:val="19"/>
  </w:num>
  <w:num w:numId="16">
    <w:abstractNumId w:val="8"/>
  </w:num>
  <w:num w:numId="17">
    <w:abstractNumId w:val="0"/>
  </w:num>
  <w:num w:numId="18">
    <w:abstractNumId w:val="11"/>
  </w:num>
  <w:num w:numId="19">
    <w:abstractNumId w:val="12"/>
  </w:num>
  <w:num w:numId="20">
    <w:abstractNumId w:val="1"/>
  </w:num>
  <w:num w:numId="21">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rsids>
    <w:rsidRoot w:val="004F4137"/>
    <w:rsid w:val="00020E77"/>
    <w:rsid w:val="00027A03"/>
    <w:rsid w:val="00041190"/>
    <w:rsid w:val="000465A3"/>
    <w:rsid w:val="000601F1"/>
    <w:rsid w:val="00072B2C"/>
    <w:rsid w:val="00072C42"/>
    <w:rsid w:val="000C3602"/>
    <w:rsid w:val="000D3045"/>
    <w:rsid w:val="000E4319"/>
    <w:rsid w:val="000F3D2E"/>
    <w:rsid w:val="000F68CB"/>
    <w:rsid w:val="00135E5F"/>
    <w:rsid w:val="001532DC"/>
    <w:rsid w:val="00162A89"/>
    <w:rsid w:val="0017157B"/>
    <w:rsid w:val="00210908"/>
    <w:rsid w:val="002423D2"/>
    <w:rsid w:val="0026151C"/>
    <w:rsid w:val="0027058F"/>
    <w:rsid w:val="002B10B7"/>
    <w:rsid w:val="002B1824"/>
    <w:rsid w:val="002B5543"/>
    <w:rsid w:val="002C223C"/>
    <w:rsid w:val="0030342B"/>
    <w:rsid w:val="00336699"/>
    <w:rsid w:val="003408A0"/>
    <w:rsid w:val="00342ECE"/>
    <w:rsid w:val="00345113"/>
    <w:rsid w:val="0034623C"/>
    <w:rsid w:val="00376633"/>
    <w:rsid w:val="00395AAC"/>
    <w:rsid w:val="00397E72"/>
    <w:rsid w:val="003A37F9"/>
    <w:rsid w:val="003B4354"/>
    <w:rsid w:val="003C23FE"/>
    <w:rsid w:val="003D5300"/>
    <w:rsid w:val="003E6BED"/>
    <w:rsid w:val="003F7F2E"/>
    <w:rsid w:val="00401E25"/>
    <w:rsid w:val="00402527"/>
    <w:rsid w:val="00403B6C"/>
    <w:rsid w:val="00482977"/>
    <w:rsid w:val="0049095B"/>
    <w:rsid w:val="004A3B32"/>
    <w:rsid w:val="004E2774"/>
    <w:rsid w:val="004E294B"/>
    <w:rsid w:val="004F4137"/>
    <w:rsid w:val="00506909"/>
    <w:rsid w:val="00557821"/>
    <w:rsid w:val="0056765C"/>
    <w:rsid w:val="00570AE1"/>
    <w:rsid w:val="00597770"/>
    <w:rsid w:val="005A1A00"/>
    <w:rsid w:val="005E2309"/>
    <w:rsid w:val="005F5FCF"/>
    <w:rsid w:val="00637841"/>
    <w:rsid w:val="006451E0"/>
    <w:rsid w:val="00652ECF"/>
    <w:rsid w:val="00674819"/>
    <w:rsid w:val="006855AB"/>
    <w:rsid w:val="006873B5"/>
    <w:rsid w:val="00693AD8"/>
    <w:rsid w:val="006B6491"/>
    <w:rsid w:val="006E6EDD"/>
    <w:rsid w:val="006F3CD6"/>
    <w:rsid w:val="007040BD"/>
    <w:rsid w:val="00734E45"/>
    <w:rsid w:val="007A7181"/>
    <w:rsid w:val="007D76E3"/>
    <w:rsid w:val="007D7783"/>
    <w:rsid w:val="007E73D6"/>
    <w:rsid w:val="00831269"/>
    <w:rsid w:val="008341FB"/>
    <w:rsid w:val="00840F2C"/>
    <w:rsid w:val="008836F9"/>
    <w:rsid w:val="00895E39"/>
    <w:rsid w:val="008E05B4"/>
    <w:rsid w:val="008E5CBA"/>
    <w:rsid w:val="00900716"/>
    <w:rsid w:val="00904F89"/>
    <w:rsid w:val="0092374F"/>
    <w:rsid w:val="009343B7"/>
    <w:rsid w:val="00936544"/>
    <w:rsid w:val="00942702"/>
    <w:rsid w:val="00945BFE"/>
    <w:rsid w:val="00960379"/>
    <w:rsid w:val="00964183"/>
    <w:rsid w:val="00966F2F"/>
    <w:rsid w:val="009A3238"/>
    <w:rsid w:val="009A4997"/>
    <w:rsid w:val="009B5ACC"/>
    <w:rsid w:val="00A25AEF"/>
    <w:rsid w:val="00A312B8"/>
    <w:rsid w:val="00A35AD5"/>
    <w:rsid w:val="00A51456"/>
    <w:rsid w:val="00A82413"/>
    <w:rsid w:val="00A902AB"/>
    <w:rsid w:val="00A92FF6"/>
    <w:rsid w:val="00AB6203"/>
    <w:rsid w:val="00AD7D73"/>
    <w:rsid w:val="00B130A8"/>
    <w:rsid w:val="00B35A7E"/>
    <w:rsid w:val="00B62CAE"/>
    <w:rsid w:val="00B67799"/>
    <w:rsid w:val="00B709E5"/>
    <w:rsid w:val="00B7502E"/>
    <w:rsid w:val="00B84DEA"/>
    <w:rsid w:val="00B91DCE"/>
    <w:rsid w:val="00B944D1"/>
    <w:rsid w:val="00B9697E"/>
    <w:rsid w:val="00B97C0E"/>
    <w:rsid w:val="00BA0552"/>
    <w:rsid w:val="00BC42EF"/>
    <w:rsid w:val="00BC76CD"/>
    <w:rsid w:val="00BE2CE9"/>
    <w:rsid w:val="00C04A4D"/>
    <w:rsid w:val="00C4437F"/>
    <w:rsid w:val="00C44AD3"/>
    <w:rsid w:val="00C45AAA"/>
    <w:rsid w:val="00C60608"/>
    <w:rsid w:val="00C651CA"/>
    <w:rsid w:val="00C67DD9"/>
    <w:rsid w:val="00CA4CCE"/>
    <w:rsid w:val="00CB4553"/>
    <w:rsid w:val="00CB556C"/>
    <w:rsid w:val="00CC0A70"/>
    <w:rsid w:val="00CC4B7D"/>
    <w:rsid w:val="00CC524D"/>
    <w:rsid w:val="00CD1F32"/>
    <w:rsid w:val="00D1258C"/>
    <w:rsid w:val="00D25F5E"/>
    <w:rsid w:val="00D43758"/>
    <w:rsid w:val="00D47FE3"/>
    <w:rsid w:val="00D860E1"/>
    <w:rsid w:val="00D92506"/>
    <w:rsid w:val="00DA3614"/>
    <w:rsid w:val="00E16DAB"/>
    <w:rsid w:val="00E266CF"/>
    <w:rsid w:val="00E32FAD"/>
    <w:rsid w:val="00E35CD0"/>
    <w:rsid w:val="00E728B6"/>
    <w:rsid w:val="00E85CF5"/>
    <w:rsid w:val="00E87EC3"/>
    <w:rsid w:val="00EC50C8"/>
    <w:rsid w:val="00ED12B9"/>
    <w:rsid w:val="00ED64C6"/>
    <w:rsid w:val="00F151F8"/>
    <w:rsid w:val="00F3388D"/>
    <w:rsid w:val="00F56E8C"/>
    <w:rsid w:val="00F95686"/>
    <w:rsid w:val="00F96467"/>
    <w:rsid w:val="00FB609C"/>
    <w:rsid w:val="00FF436B"/>
  </w:rsids>
  <m:mathPr>
    <m:mathFont m:val="Cambria Math"/>
    <m:brkBin m:val="before"/>
    <m:brkBinSub m:val="--"/>
    <m:smallFrac m:val="off"/>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B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7502E"/>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6451E0"/>
    <w:pPr>
      <w:spacing w:after="0" w:line="240" w:lineRule="auto"/>
      <w:ind w:left="720"/>
      <w:contextualSpacing/>
    </w:pPr>
    <w:rPr>
      <w:rFonts w:ascii="Times New Roman" w:eastAsia="Times New Roman" w:hAnsi="Times New Roman" w:cs="Times New Roman"/>
      <w:sz w:val="24"/>
      <w:szCs w:val="24"/>
      <w:lang w:eastAsia="fr-BE"/>
    </w:rPr>
  </w:style>
  <w:style w:type="paragraph" w:styleId="NormalWeb">
    <w:name w:val="Normal (Web)"/>
    <w:basedOn w:val="Normal"/>
    <w:uiPriority w:val="99"/>
    <w:unhideWhenUsed/>
    <w:rsid w:val="006451E0"/>
    <w:pPr>
      <w:spacing w:before="100" w:beforeAutospacing="1" w:after="100" w:afterAutospacing="1" w:line="240" w:lineRule="auto"/>
    </w:pPr>
    <w:rPr>
      <w:rFonts w:ascii="Times New Roman" w:eastAsia="Times New Roman" w:hAnsi="Times New Roman" w:cs="Times New Roman"/>
      <w:sz w:val="24"/>
      <w:szCs w:val="24"/>
      <w:lang w:eastAsia="fr-BE"/>
    </w:rPr>
  </w:style>
  <w:style w:type="paragraph" w:styleId="Notedebasdepage">
    <w:name w:val="footnote text"/>
    <w:basedOn w:val="Normal"/>
    <w:link w:val="NotedebasdepageCar"/>
    <w:uiPriority w:val="99"/>
    <w:semiHidden/>
    <w:unhideWhenUsed/>
    <w:rsid w:val="006451E0"/>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6451E0"/>
    <w:rPr>
      <w:sz w:val="20"/>
      <w:szCs w:val="20"/>
    </w:rPr>
  </w:style>
  <w:style w:type="character" w:styleId="Appelnotedebasdep">
    <w:name w:val="footnote reference"/>
    <w:basedOn w:val="Policepardfaut"/>
    <w:uiPriority w:val="99"/>
    <w:semiHidden/>
    <w:unhideWhenUsed/>
    <w:rsid w:val="006451E0"/>
    <w:rPr>
      <w:vertAlign w:val="superscript"/>
    </w:rPr>
  </w:style>
  <w:style w:type="paragraph" w:customStyle="1" w:styleId="Default">
    <w:name w:val="Default"/>
    <w:rsid w:val="000F68CB"/>
    <w:pPr>
      <w:autoSpaceDE w:val="0"/>
      <w:autoSpaceDN w:val="0"/>
      <w:adjustRightInd w:val="0"/>
      <w:spacing w:after="0" w:line="240" w:lineRule="auto"/>
    </w:pPr>
    <w:rPr>
      <w:rFonts w:ascii="EUAlbertina" w:hAnsi="EUAlbertina" w:cs="EUAlbertina"/>
      <w:color w:val="000000"/>
      <w:sz w:val="24"/>
      <w:szCs w:val="24"/>
    </w:rPr>
  </w:style>
  <w:style w:type="paragraph" w:customStyle="1" w:styleId="CM1">
    <w:name w:val="CM1"/>
    <w:basedOn w:val="Default"/>
    <w:next w:val="Default"/>
    <w:uiPriority w:val="99"/>
    <w:rsid w:val="000F68CB"/>
    <w:rPr>
      <w:rFonts w:cstheme="minorBidi"/>
      <w:color w:val="auto"/>
    </w:rPr>
  </w:style>
  <w:style w:type="paragraph" w:customStyle="1" w:styleId="CM3">
    <w:name w:val="CM3"/>
    <w:basedOn w:val="Default"/>
    <w:next w:val="Default"/>
    <w:uiPriority w:val="99"/>
    <w:rsid w:val="000F68CB"/>
    <w:rPr>
      <w:rFonts w:cstheme="minorBidi"/>
      <w:color w:val="auto"/>
    </w:rPr>
  </w:style>
  <w:style w:type="paragraph" w:customStyle="1" w:styleId="CM4">
    <w:name w:val="CM4"/>
    <w:basedOn w:val="Default"/>
    <w:next w:val="Default"/>
    <w:uiPriority w:val="99"/>
    <w:rsid w:val="000F68CB"/>
    <w:rPr>
      <w:rFonts w:cstheme="minorBidi"/>
      <w:color w:val="auto"/>
    </w:rPr>
  </w:style>
  <w:style w:type="character" w:styleId="lev">
    <w:name w:val="Strong"/>
    <w:basedOn w:val="Policepardfaut"/>
    <w:uiPriority w:val="22"/>
    <w:qFormat/>
    <w:rsid w:val="00693AD8"/>
    <w:rPr>
      <w:b/>
      <w:bCs/>
    </w:rPr>
  </w:style>
  <w:style w:type="character" w:customStyle="1" w:styleId="apple-converted-space">
    <w:name w:val="apple-converted-space"/>
    <w:basedOn w:val="Policepardfaut"/>
    <w:rsid w:val="00693AD8"/>
  </w:style>
  <w:style w:type="character" w:styleId="Accentuation">
    <w:name w:val="Emphasis"/>
    <w:basedOn w:val="Policepardfaut"/>
    <w:uiPriority w:val="20"/>
    <w:qFormat/>
    <w:rsid w:val="00693AD8"/>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B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6451E0"/>
    <w:pPr>
      <w:spacing w:after="0" w:line="240" w:lineRule="auto"/>
      <w:ind w:left="720"/>
      <w:contextualSpacing/>
    </w:pPr>
    <w:rPr>
      <w:rFonts w:ascii="Times New Roman" w:eastAsia="Times New Roman" w:hAnsi="Times New Roman" w:cs="Times New Roman"/>
      <w:sz w:val="24"/>
      <w:szCs w:val="24"/>
      <w:lang w:eastAsia="fr-BE"/>
    </w:rPr>
  </w:style>
  <w:style w:type="paragraph" w:styleId="NormalWeb">
    <w:name w:val="Normal (Web)"/>
    <w:basedOn w:val="Normal"/>
    <w:uiPriority w:val="99"/>
    <w:unhideWhenUsed/>
    <w:rsid w:val="006451E0"/>
    <w:pPr>
      <w:spacing w:before="100" w:beforeAutospacing="1" w:after="100" w:afterAutospacing="1" w:line="240" w:lineRule="auto"/>
    </w:pPr>
    <w:rPr>
      <w:rFonts w:ascii="Times New Roman" w:eastAsia="Times New Roman" w:hAnsi="Times New Roman" w:cs="Times New Roman"/>
      <w:sz w:val="24"/>
      <w:szCs w:val="24"/>
      <w:lang w:eastAsia="fr-BE"/>
    </w:rPr>
  </w:style>
  <w:style w:type="paragraph" w:styleId="Notedebasdepage">
    <w:name w:val="footnote text"/>
    <w:basedOn w:val="Normal"/>
    <w:link w:val="NotedebasdepageCar"/>
    <w:uiPriority w:val="99"/>
    <w:semiHidden/>
    <w:unhideWhenUsed/>
    <w:rsid w:val="006451E0"/>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6451E0"/>
    <w:rPr>
      <w:sz w:val="20"/>
      <w:szCs w:val="20"/>
    </w:rPr>
  </w:style>
  <w:style w:type="character" w:styleId="Appelnotedebasdep">
    <w:name w:val="footnote reference"/>
    <w:basedOn w:val="Policepardfaut"/>
    <w:uiPriority w:val="99"/>
    <w:semiHidden/>
    <w:unhideWhenUsed/>
    <w:rsid w:val="006451E0"/>
    <w:rPr>
      <w:vertAlign w:val="superscript"/>
    </w:rPr>
  </w:style>
  <w:style w:type="paragraph" w:customStyle="1" w:styleId="Default">
    <w:name w:val="Default"/>
    <w:rsid w:val="000F68CB"/>
    <w:pPr>
      <w:autoSpaceDE w:val="0"/>
      <w:autoSpaceDN w:val="0"/>
      <w:adjustRightInd w:val="0"/>
      <w:spacing w:after="0" w:line="240" w:lineRule="auto"/>
    </w:pPr>
    <w:rPr>
      <w:rFonts w:ascii="EUAlbertina" w:hAnsi="EUAlbertina" w:cs="EUAlbertina"/>
      <w:color w:val="000000"/>
      <w:sz w:val="24"/>
      <w:szCs w:val="24"/>
    </w:rPr>
  </w:style>
  <w:style w:type="paragraph" w:customStyle="1" w:styleId="CM1">
    <w:name w:val="CM1"/>
    <w:basedOn w:val="Default"/>
    <w:next w:val="Default"/>
    <w:uiPriority w:val="99"/>
    <w:rsid w:val="000F68CB"/>
    <w:rPr>
      <w:rFonts w:cstheme="minorBidi"/>
      <w:color w:val="auto"/>
    </w:rPr>
  </w:style>
  <w:style w:type="paragraph" w:customStyle="1" w:styleId="CM3">
    <w:name w:val="CM3"/>
    <w:basedOn w:val="Default"/>
    <w:next w:val="Default"/>
    <w:uiPriority w:val="99"/>
    <w:rsid w:val="000F68CB"/>
    <w:rPr>
      <w:rFonts w:cstheme="minorBidi"/>
      <w:color w:val="auto"/>
    </w:rPr>
  </w:style>
  <w:style w:type="paragraph" w:customStyle="1" w:styleId="CM4">
    <w:name w:val="CM4"/>
    <w:basedOn w:val="Default"/>
    <w:next w:val="Default"/>
    <w:uiPriority w:val="99"/>
    <w:rsid w:val="000F68CB"/>
    <w:rPr>
      <w:rFonts w:cstheme="minorBidi"/>
      <w:color w:val="auto"/>
    </w:rPr>
  </w:style>
  <w:style w:type="character" w:styleId="lev">
    <w:name w:val="Strong"/>
    <w:basedOn w:val="Policepardfaut"/>
    <w:uiPriority w:val="22"/>
    <w:qFormat/>
    <w:rsid w:val="00693AD8"/>
    <w:rPr>
      <w:b/>
      <w:bCs/>
    </w:rPr>
  </w:style>
  <w:style w:type="character" w:customStyle="1" w:styleId="apple-converted-space">
    <w:name w:val="apple-converted-space"/>
    <w:basedOn w:val="Policepardfaut"/>
    <w:rsid w:val="00693AD8"/>
  </w:style>
  <w:style w:type="character" w:styleId="Accentuation">
    <w:name w:val="Emphasis"/>
    <w:basedOn w:val="Policepardfaut"/>
    <w:uiPriority w:val="20"/>
    <w:qFormat/>
    <w:rsid w:val="00693AD8"/>
    <w:rPr>
      <w:i/>
      <w:iCs/>
    </w:rPr>
  </w:style>
</w:styles>
</file>

<file path=word/webSettings.xml><?xml version="1.0" encoding="utf-8"?>
<w:webSettings xmlns:r="http://schemas.openxmlformats.org/officeDocument/2006/relationships" xmlns:w="http://schemas.openxmlformats.org/wordprocessingml/2006/main">
  <w:divs>
    <w:div w:id="588586570">
      <w:bodyDiv w:val="1"/>
      <w:marLeft w:val="0"/>
      <w:marRight w:val="0"/>
      <w:marTop w:val="0"/>
      <w:marBottom w:val="0"/>
      <w:divBdr>
        <w:top w:val="none" w:sz="0" w:space="0" w:color="auto"/>
        <w:left w:val="none" w:sz="0" w:space="0" w:color="auto"/>
        <w:bottom w:val="none" w:sz="0" w:space="0" w:color="auto"/>
        <w:right w:val="none" w:sz="0" w:space="0" w:color="auto"/>
      </w:divBdr>
      <w:divsChild>
        <w:div w:id="585500939">
          <w:marLeft w:val="0"/>
          <w:marRight w:val="0"/>
          <w:marTop w:val="0"/>
          <w:marBottom w:val="0"/>
          <w:divBdr>
            <w:top w:val="none" w:sz="0" w:space="0" w:color="auto"/>
            <w:left w:val="none" w:sz="0" w:space="0" w:color="auto"/>
            <w:bottom w:val="none" w:sz="0" w:space="0" w:color="auto"/>
            <w:right w:val="none" w:sz="0" w:space="0" w:color="auto"/>
          </w:divBdr>
          <w:divsChild>
            <w:div w:id="565649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6048631">
      <w:bodyDiv w:val="1"/>
      <w:marLeft w:val="0"/>
      <w:marRight w:val="0"/>
      <w:marTop w:val="0"/>
      <w:marBottom w:val="0"/>
      <w:divBdr>
        <w:top w:val="none" w:sz="0" w:space="0" w:color="auto"/>
        <w:left w:val="none" w:sz="0" w:space="0" w:color="auto"/>
        <w:bottom w:val="none" w:sz="0" w:space="0" w:color="auto"/>
        <w:right w:val="none" w:sz="0" w:space="0" w:color="auto"/>
      </w:divBdr>
      <w:divsChild>
        <w:div w:id="711467432">
          <w:marLeft w:val="547"/>
          <w:marRight w:val="0"/>
          <w:marTop w:val="154"/>
          <w:marBottom w:val="0"/>
          <w:divBdr>
            <w:top w:val="none" w:sz="0" w:space="0" w:color="auto"/>
            <w:left w:val="none" w:sz="0" w:space="0" w:color="auto"/>
            <w:bottom w:val="none" w:sz="0" w:space="0" w:color="auto"/>
            <w:right w:val="none" w:sz="0" w:space="0" w:color="auto"/>
          </w:divBdr>
        </w:div>
        <w:div w:id="1389840621">
          <w:marLeft w:val="547"/>
          <w:marRight w:val="0"/>
          <w:marTop w:val="154"/>
          <w:marBottom w:val="0"/>
          <w:divBdr>
            <w:top w:val="none" w:sz="0" w:space="0" w:color="auto"/>
            <w:left w:val="none" w:sz="0" w:space="0" w:color="auto"/>
            <w:bottom w:val="none" w:sz="0" w:space="0" w:color="auto"/>
            <w:right w:val="none" w:sz="0" w:space="0" w:color="auto"/>
          </w:divBdr>
        </w:div>
        <w:div w:id="728072068">
          <w:marLeft w:val="547"/>
          <w:marRight w:val="0"/>
          <w:marTop w:val="154"/>
          <w:marBottom w:val="0"/>
          <w:divBdr>
            <w:top w:val="none" w:sz="0" w:space="0" w:color="auto"/>
            <w:left w:val="none" w:sz="0" w:space="0" w:color="auto"/>
            <w:bottom w:val="none" w:sz="0" w:space="0" w:color="auto"/>
            <w:right w:val="none" w:sz="0" w:space="0" w:color="auto"/>
          </w:divBdr>
        </w:div>
        <w:div w:id="774786205">
          <w:marLeft w:val="547"/>
          <w:marRight w:val="0"/>
          <w:marTop w:val="154"/>
          <w:marBottom w:val="0"/>
          <w:divBdr>
            <w:top w:val="none" w:sz="0" w:space="0" w:color="auto"/>
            <w:left w:val="none" w:sz="0" w:space="0" w:color="auto"/>
            <w:bottom w:val="none" w:sz="0" w:space="0" w:color="auto"/>
            <w:right w:val="none" w:sz="0" w:space="0" w:color="auto"/>
          </w:divBdr>
        </w:div>
      </w:divsChild>
    </w:div>
    <w:div w:id="12388571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microsoft.com/office/2007/relationships/stylesWithEffects" Target="stylesWithEffect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0E7AE06-62C2-4008-A712-ED1540F713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12</Pages>
  <Words>4780</Words>
  <Characters>26290</Characters>
  <Application>Microsoft Office Word</Application>
  <DocSecurity>4</DocSecurity>
  <Lines>219</Lines>
  <Paragraphs>62</Paragraphs>
  <ScaleCrop>false</ScaleCrop>
  <HeadingPairs>
    <vt:vector size="2" baseType="variant">
      <vt:variant>
        <vt:lpstr>Titre</vt:lpstr>
      </vt:variant>
      <vt:variant>
        <vt:i4>1</vt:i4>
      </vt:variant>
    </vt:vector>
  </HeadingPairs>
  <TitlesOfParts>
    <vt:vector size="1" baseType="lpstr">
      <vt:lpstr/>
    </vt:vector>
  </TitlesOfParts>
  <Company>Microsoft</Company>
  <LinksUpToDate>false</LinksUpToDate>
  <CharactersWithSpaces>31008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Isabelle</dc:creator>
  <cp:lastModifiedBy>Gaëlle</cp:lastModifiedBy>
  <cp:revision>2</cp:revision>
  <cp:lastPrinted>2013-09-16T09:08:00Z</cp:lastPrinted>
  <dcterms:created xsi:type="dcterms:W3CDTF">2013-10-01T07:39:00Z</dcterms:created>
  <dcterms:modified xsi:type="dcterms:W3CDTF">2013-10-01T07:39:00Z</dcterms:modified>
</cp:coreProperties>
</file>